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20" w:lineRule="exact"/>
        <w:ind w:right="640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 xml:space="preserve">总投资概算表    </w:t>
      </w:r>
    </w:p>
    <w:p>
      <w:pPr>
        <w:spacing w:line="520" w:lineRule="exact"/>
        <w:ind w:right="64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                          </w:t>
      </w:r>
    </w:p>
    <w:p>
      <w:pPr>
        <w:spacing w:line="520" w:lineRule="exact"/>
        <w:ind w:right="640"/>
        <w:jc w:val="right"/>
        <w:rPr>
          <w:rFonts w:hint="eastAsia"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单位：万元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408"/>
        <w:gridCol w:w="2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  <w:t>工程项目或费用名称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宋体" w:eastAsia="方正黑体_GBK" w:cs="仿宋_GB2312"/>
                <w:kern w:val="0"/>
                <w:sz w:val="28"/>
                <w:szCs w:val="28"/>
                <w:lang w:bidi="ar"/>
              </w:rPr>
              <w:t>评审金额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一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8437.25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土石方工程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4041.68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道路工程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2687.60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排水工程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101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1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.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99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海绵城市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61.61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5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照明工程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191.07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6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交通工程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210.72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7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给水工程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156.27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8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综合管网过街预埋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76.31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二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工程建设其他费用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44773.45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（一）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建设用地费用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43082.76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征地费用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0.00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拆迁补偿费用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43082.76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（二）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技术咨询费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49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4.93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编制可行性研究报告（含轨道交通控制保护设计专篇编制）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评估可行性研究报告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勘察设计费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129.06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2.1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工程勘察费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19.38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2.2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工程设计费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109.68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勘查外业见证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施工图审查费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5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勘察成果审查费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6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环境影响评价及补偿费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12.76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7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水土保持方案编制费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31.59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8</w:t>
            </w:r>
          </w:p>
        </w:tc>
        <w:tc>
          <w:tcPr>
            <w:tcW w:w="29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设计、勘察招标代理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监理招标代理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施工招标代理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工程造价咨询服务费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概算审核费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34.34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工程量清单编制、组价及审核费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34.08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9.3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结算审核费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9.4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施工阶段全过程造价跟踪控制费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55.65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9.5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基建竣工决算审计费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6.93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10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工程建设监理费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151.38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（三）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工程建设管理费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146.27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建设单位管理费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146.27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（四）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其他费用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104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9.49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场地准备和临时设施费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42.19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工程保险费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25.31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安全生产保障费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63.28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地震、地灾安全评估费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5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道路及周边用地规划修改论证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6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地形管线测量技术服务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1:500现状地形管线图测量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7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高边坡评估及审查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8</w:t>
            </w:r>
          </w:p>
        </w:tc>
        <w:tc>
          <w:tcPr>
            <w:tcW w:w="2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土壤污染状况调查报告编制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29.80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</w:t>
            </w:r>
          </w:p>
        </w:tc>
        <w:tc>
          <w:tcPr>
            <w:tcW w:w="2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管线迁改费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795.90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架空电线埋地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615.60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9.2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国防光缆保护（铁塔）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9.3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燃气管线迁改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60.30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10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交通组织措施费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竣工后高切坡监测费用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10.83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三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预备费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497.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42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基本预备费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497.</w:t>
            </w: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42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四</w:t>
            </w:r>
          </w:p>
        </w:tc>
        <w:tc>
          <w:tcPr>
            <w:tcW w:w="2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>概算总投资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eastAsia="方正仿宋_GBK" w:cs="仿宋_GB2312"/>
                <w:kern w:val="0"/>
                <w:sz w:val="24"/>
                <w:szCs w:val="18"/>
                <w:lang w:bidi="ar"/>
              </w:rPr>
              <w:t>53708.12</w:t>
            </w:r>
            <w:r>
              <w:rPr>
                <w:rFonts w:hint="eastAsia" w:eastAsia="方正仿宋_GBK" w:cs="仿宋_GB2312"/>
                <w:kern w:val="0"/>
                <w:sz w:val="24"/>
                <w:szCs w:val="18"/>
                <w:lang w:bidi="ar"/>
              </w:rPr>
              <w:t xml:space="preserve"> </w:t>
            </w:r>
          </w:p>
        </w:tc>
      </w:tr>
    </w:tbl>
    <w:p>
      <w:pPr>
        <w:spacing w:line="520" w:lineRule="exact"/>
        <w:ind w:right="640"/>
        <w:rPr>
          <w:rFonts w:hint="eastAsia" w:eastAsia="方正仿宋_GBK" w:cs="宋体"/>
          <w:kern w:val="0"/>
          <w:sz w:val="24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4212"/>
    <w:rsid w:val="54F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2022-12-13T06:55:00Z</dcterms:created>
  <dc:creator>HP</dc:creator>
  <cp:lastModifiedBy>HP</cp:lastModifiedBy>
  <dcterms:modified xsi:type="dcterms:W3CDTF">2022-12-13T06:56:08Z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05AFE2958FD34FF4A68322849EE16C76</vt:lpwstr>
  </property>
</Properties>
</file>