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C3" w:rsidRPr="00E604C3" w:rsidRDefault="00E604C3" w:rsidP="00E604C3">
      <w:pPr>
        <w:widowControl/>
        <w:shd w:val="clear" w:color="auto" w:fill="FFFFFF"/>
        <w:spacing w:line="690" w:lineRule="atLeast"/>
        <w:jc w:val="center"/>
        <w:rPr>
          <w:rFonts w:ascii="方正小标宋_GBK" w:eastAsia="方正小标宋_GBK" w:hAnsi="宋体" w:cs="宋体"/>
          <w:color w:val="333333"/>
          <w:kern w:val="0"/>
          <w:sz w:val="42"/>
          <w:szCs w:val="42"/>
        </w:rPr>
      </w:pPr>
      <w:r w:rsidRPr="00E604C3">
        <w:rPr>
          <w:rFonts w:ascii="方正小标宋_GBK" w:eastAsia="方正小标宋_GBK" w:hAnsi="宋体" w:cs="宋体" w:hint="eastAsia"/>
          <w:color w:val="333333"/>
          <w:kern w:val="0"/>
          <w:sz w:val="42"/>
          <w:szCs w:val="42"/>
        </w:rPr>
        <w:t>关于加强低速电动车管理的通告</w:t>
      </w:r>
    </w:p>
    <w:p w:rsidR="00E604C3" w:rsidRPr="00E604C3" w:rsidRDefault="00E604C3" w:rsidP="00E604C3">
      <w:pPr>
        <w:widowControl/>
        <w:shd w:val="clear" w:color="auto" w:fill="FFFFFF"/>
        <w:jc w:val="center"/>
        <w:rPr>
          <w:rFonts w:ascii="MicrosoftYaHei" w:eastAsia="宋体" w:hAnsi="MicrosoftYaHei" w:cs="宋体" w:hint="eastAsia"/>
          <w:color w:val="333333"/>
          <w:kern w:val="0"/>
          <w:szCs w:val="21"/>
        </w:rPr>
      </w:pPr>
      <w:r w:rsidRPr="00E604C3">
        <w:rPr>
          <w:rFonts w:ascii="方正楷体_GBK" w:eastAsia="方正楷体_GBK" w:hAnsi="MicrosoftYaHei" w:cs="宋体" w:hint="eastAsia"/>
          <w:color w:val="333333"/>
          <w:kern w:val="0"/>
          <w:sz w:val="32"/>
          <w:szCs w:val="32"/>
        </w:rPr>
        <w:t>渝公</w:t>
      </w:r>
      <w:proofErr w:type="gramStart"/>
      <w:r w:rsidRPr="00E604C3">
        <w:rPr>
          <w:rFonts w:ascii="方正楷体_GBK" w:eastAsia="方正楷体_GBK" w:hAnsi="MicrosoftYaHei" w:cs="宋体" w:hint="eastAsia"/>
          <w:color w:val="333333"/>
          <w:kern w:val="0"/>
          <w:sz w:val="32"/>
          <w:szCs w:val="32"/>
        </w:rPr>
        <w:t>规</w:t>
      </w:r>
      <w:proofErr w:type="gramEnd"/>
      <w:r w:rsidRPr="00E604C3">
        <w:rPr>
          <w:rFonts w:ascii="方正楷体_GBK" w:eastAsia="方正楷体_GBK" w:hAnsi="MicrosoftYaHei" w:cs="宋体" w:hint="eastAsia"/>
          <w:color w:val="333333"/>
          <w:kern w:val="0"/>
          <w:sz w:val="32"/>
          <w:szCs w:val="32"/>
        </w:rPr>
        <w:t>〔2024〕5号</w:t>
      </w:r>
    </w:p>
    <w:p w:rsidR="00E604C3" w:rsidRPr="00E604C3" w:rsidRDefault="00E604C3" w:rsidP="00E604C3">
      <w:pPr>
        <w:widowControl/>
        <w:shd w:val="clear" w:color="auto" w:fill="FFFFFF"/>
        <w:jc w:val="left"/>
        <w:rPr>
          <w:rFonts w:ascii="MicrosoftYaHei" w:eastAsia="宋体" w:hAnsi="MicrosoftYaHei" w:cs="宋体"/>
          <w:color w:val="333333"/>
          <w:kern w:val="0"/>
          <w:szCs w:val="21"/>
        </w:rPr>
      </w:pPr>
      <w:r w:rsidRPr="00E604C3">
        <w:rPr>
          <w:rFonts w:ascii="方正楷体_GBK" w:eastAsia="方正楷体_GBK" w:hAnsi="MicrosoftYaHei" w:cs="宋体" w:hint="eastAsia"/>
          <w:color w:val="333333"/>
          <w:kern w:val="0"/>
          <w:sz w:val="32"/>
          <w:szCs w:val="32"/>
        </w:rPr>
        <w:t> </w:t>
      </w:r>
    </w:p>
    <w:p w:rsidR="00E604C3" w:rsidRPr="00E604C3" w:rsidRDefault="00E604C3" w:rsidP="00E604C3">
      <w:pPr>
        <w:widowControl/>
        <w:shd w:val="clear" w:color="auto" w:fill="FFFFFF"/>
        <w:spacing w:line="570" w:lineRule="atLeast"/>
        <w:ind w:firstLine="480"/>
        <w:jc w:val="lef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为切实加强本市低速电动车管理，保障人民群众生命财产安全和合法权益，依据《中华人民共和国道路交通安全法》及其实施条例，工业和信息化部、国家发展改革委、科技部、公安部、交通运输部、市场监管总局《关于加强低速电动车管理的通知》（工信部联装〔2018〕227号）等法律法规和规范性文件，结合本市实际，现将有关事项通告如下：</w:t>
      </w:r>
    </w:p>
    <w:p w:rsidR="00E604C3" w:rsidRPr="00E604C3" w:rsidRDefault="00E604C3" w:rsidP="00E604C3">
      <w:pPr>
        <w:widowControl/>
        <w:shd w:val="clear" w:color="auto" w:fill="FFFFFF"/>
        <w:spacing w:line="570" w:lineRule="atLeast"/>
        <w:ind w:firstLine="480"/>
        <w:jc w:val="lef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一、低速电动车未纳入《道路机动车辆生产企业及产品公告》，其产品制动、转向、碰撞等性能不符合机动车安全技术标准，按照国家和本市有关要求，应当加强监管。本通告所称低速电动车主要指行驶速度低、续驶里程短，电池、电机等关键部件技术水平较低，用于载客或者载货的三轮、四轮电动机动车（包括老年</w:t>
      </w:r>
      <w:proofErr w:type="gramStart"/>
      <w:r w:rsidRPr="00E604C3">
        <w:rPr>
          <w:rFonts w:ascii="方正楷体_GBK" w:eastAsia="方正楷体_GBK" w:hAnsi="FangSong" w:cs="宋体" w:hint="eastAsia"/>
          <w:color w:val="333333"/>
          <w:kern w:val="0"/>
          <w:sz w:val="32"/>
          <w:szCs w:val="32"/>
        </w:rPr>
        <w:t>代步车</w:t>
      </w:r>
      <w:proofErr w:type="gramEnd"/>
      <w:r w:rsidRPr="00E604C3">
        <w:rPr>
          <w:rFonts w:ascii="方正楷体_GBK" w:eastAsia="方正楷体_GBK" w:hAnsi="FangSong" w:cs="宋体" w:hint="eastAsia"/>
          <w:color w:val="333333"/>
          <w:kern w:val="0"/>
          <w:sz w:val="32"/>
          <w:szCs w:val="32"/>
        </w:rPr>
        <w:t>等），不包括符合国家标准的残疾人机动轮椅车以及《特种设备目录》中的场（厂）内专用机动车辆。</w:t>
      </w:r>
    </w:p>
    <w:p w:rsidR="00E604C3" w:rsidRPr="00E604C3" w:rsidRDefault="00E604C3" w:rsidP="00E604C3">
      <w:pPr>
        <w:widowControl/>
        <w:shd w:val="clear" w:color="auto" w:fill="FFFFFF"/>
        <w:spacing w:line="570" w:lineRule="atLeast"/>
        <w:ind w:firstLine="480"/>
        <w:jc w:val="lef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二、市经济和信息化委员会、市发展和改革委员会、市科学技术局、市公安局、市交通局、市市场监督管理局《关于印发重庆市进一步加强低速电动车管理工作方案的通知》（</w:t>
      </w:r>
      <w:proofErr w:type="gramStart"/>
      <w:r w:rsidRPr="00E604C3">
        <w:rPr>
          <w:rFonts w:ascii="方正楷体_GBK" w:eastAsia="方正楷体_GBK" w:hAnsi="FangSong" w:cs="宋体" w:hint="eastAsia"/>
          <w:color w:val="333333"/>
          <w:kern w:val="0"/>
          <w:sz w:val="32"/>
          <w:szCs w:val="32"/>
        </w:rPr>
        <w:t>渝经信</w:t>
      </w:r>
      <w:proofErr w:type="gramEnd"/>
      <w:r w:rsidRPr="00E604C3">
        <w:rPr>
          <w:rFonts w:ascii="方正楷体_GBK" w:eastAsia="方正楷体_GBK" w:hAnsi="FangSong" w:cs="宋体" w:hint="eastAsia"/>
          <w:color w:val="333333"/>
          <w:kern w:val="0"/>
          <w:sz w:val="32"/>
          <w:szCs w:val="32"/>
        </w:rPr>
        <w:t>发〔2020〕7号）为在用低速电动车设置的</w:t>
      </w:r>
      <w:r w:rsidRPr="00E604C3">
        <w:rPr>
          <w:rFonts w:ascii="方正楷体_GBK" w:eastAsia="方正楷体_GBK" w:hAnsi="FangSong" w:cs="宋体" w:hint="eastAsia"/>
          <w:color w:val="333333"/>
          <w:kern w:val="0"/>
          <w:sz w:val="32"/>
          <w:szCs w:val="32"/>
        </w:rPr>
        <w:lastRenderedPageBreak/>
        <w:t>过渡期已经到期，为有序推进我市在用低速电动车“减存量、控增量”工作，切实保障民生，现将低速电动车过渡期延长至2027年3月31日。</w:t>
      </w:r>
    </w:p>
    <w:p w:rsidR="00E604C3" w:rsidRPr="00E604C3" w:rsidRDefault="00E604C3" w:rsidP="00E604C3">
      <w:pPr>
        <w:widowControl/>
        <w:shd w:val="clear" w:color="auto" w:fill="FFFFFF"/>
        <w:spacing w:line="570" w:lineRule="atLeast"/>
        <w:ind w:firstLine="480"/>
        <w:jc w:val="lef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三、公安机关会同街道、乡镇对本市在用低速电动车集中开展为期6个月的信息码赋码工作，向群众免费发放、粘贴“低速电动车信息码”，其他任何单位、组织和个人不得为低速电动车发放、悬挂仿照机动车和非机动车号牌式样制作的号码牌。</w:t>
      </w:r>
    </w:p>
    <w:p w:rsidR="00E604C3" w:rsidRPr="00E604C3" w:rsidRDefault="00E604C3" w:rsidP="00E604C3">
      <w:pPr>
        <w:widowControl/>
        <w:shd w:val="clear" w:color="auto" w:fill="FFFFFF"/>
        <w:spacing w:line="570" w:lineRule="atLeast"/>
        <w:ind w:firstLine="480"/>
        <w:jc w:val="lef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四、鼓励群众主动淘汰不符合机动车安全技术标准的低速电动车产品，更换纳入《道路机动车辆生产企业及产品公告》的合</w:t>
      </w:r>
      <w:proofErr w:type="gramStart"/>
      <w:r w:rsidRPr="00E604C3">
        <w:rPr>
          <w:rFonts w:ascii="方正楷体_GBK" w:eastAsia="方正楷体_GBK" w:hAnsi="FangSong" w:cs="宋体" w:hint="eastAsia"/>
          <w:color w:val="333333"/>
          <w:kern w:val="0"/>
          <w:sz w:val="32"/>
          <w:szCs w:val="32"/>
        </w:rPr>
        <w:t>规</w:t>
      </w:r>
      <w:proofErr w:type="gramEnd"/>
      <w:r w:rsidRPr="00E604C3">
        <w:rPr>
          <w:rFonts w:ascii="方正楷体_GBK" w:eastAsia="方正楷体_GBK" w:hAnsi="FangSong" w:cs="宋体" w:hint="eastAsia"/>
          <w:color w:val="333333"/>
          <w:kern w:val="0"/>
          <w:sz w:val="32"/>
          <w:szCs w:val="32"/>
        </w:rPr>
        <w:t>机动车或者符合国家标准的电动自行车。</w:t>
      </w:r>
    </w:p>
    <w:p w:rsidR="00E604C3" w:rsidRPr="00E604C3" w:rsidRDefault="00E604C3" w:rsidP="00E604C3">
      <w:pPr>
        <w:widowControl/>
        <w:shd w:val="clear" w:color="auto" w:fill="FFFFFF"/>
        <w:spacing w:line="570" w:lineRule="atLeast"/>
        <w:ind w:firstLine="480"/>
        <w:jc w:val="lef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五、过渡期内，驾驶低速电动车</w:t>
      </w:r>
      <w:proofErr w:type="gramStart"/>
      <w:r w:rsidRPr="00E604C3">
        <w:rPr>
          <w:rFonts w:ascii="方正楷体_GBK" w:eastAsia="方正楷体_GBK" w:hAnsi="FangSong" w:cs="宋体" w:hint="eastAsia"/>
          <w:color w:val="333333"/>
          <w:kern w:val="0"/>
          <w:sz w:val="32"/>
          <w:szCs w:val="32"/>
        </w:rPr>
        <w:t>上道路</w:t>
      </w:r>
      <w:proofErr w:type="gramEnd"/>
      <w:r w:rsidRPr="00E604C3">
        <w:rPr>
          <w:rFonts w:ascii="方正楷体_GBK" w:eastAsia="方正楷体_GBK" w:hAnsi="FangSong" w:cs="宋体" w:hint="eastAsia"/>
          <w:color w:val="333333"/>
          <w:kern w:val="0"/>
          <w:sz w:val="32"/>
          <w:szCs w:val="32"/>
        </w:rPr>
        <w:t>通行，应当遵守道路交通安全法律法规，做到“要赋码、有驾证、不载人、</w:t>
      </w:r>
      <w:proofErr w:type="gramStart"/>
      <w:r w:rsidRPr="00E604C3">
        <w:rPr>
          <w:rFonts w:ascii="方正楷体_GBK" w:eastAsia="方正楷体_GBK" w:hAnsi="FangSong" w:cs="宋体" w:hint="eastAsia"/>
          <w:color w:val="333333"/>
          <w:kern w:val="0"/>
          <w:sz w:val="32"/>
          <w:szCs w:val="32"/>
        </w:rPr>
        <w:t>不</w:t>
      </w:r>
      <w:proofErr w:type="gramEnd"/>
      <w:r w:rsidRPr="00E604C3">
        <w:rPr>
          <w:rFonts w:ascii="方正楷体_GBK" w:eastAsia="方正楷体_GBK" w:hAnsi="FangSong" w:cs="宋体" w:hint="eastAsia"/>
          <w:color w:val="333333"/>
          <w:kern w:val="0"/>
          <w:sz w:val="32"/>
          <w:szCs w:val="32"/>
        </w:rPr>
        <w:t>营运”安全文明驾驶，过渡期满后不得</w:t>
      </w:r>
      <w:proofErr w:type="gramStart"/>
      <w:r w:rsidRPr="00E604C3">
        <w:rPr>
          <w:rFonts w:ascii="方正楷体_GBK" w:eastAsia="方正楷体_GBK" w:hAnsi="FangSong" w:cs="宋体" w:hint="eastAsia"/>
          <w:color w:val="333333"/>
          <w:kern w:val="0"/>
          <w:sz w:val="32"/>
          <w:szCs w:val="32"/>
        </w:rPr>
        <w:t>上道路</w:t>
      </w:r>
      <w:proofErr w:type="gramEnd"/>
      <w:r w:rsidRPr="00E604C3">
        <w:rPr>
          <w:rFonts w:ascii="方正楷体_GBK" w:eastAsia="方正楷体_GBK" w:hAnsi="FangSong" w:cs="宋体" w:hint="eastAsia"/>
          <w:color w:val="333333"/>
          <w:kern w:val="0"/>
          <w:sz w:val="32"/>
          <w:szCs w:val="32"/>
        </w:rPr>
        <w:t>通行。公安机关交通管理部门、交通运输主管部门将依法查处驾驶低速电动车实施闯红灯、逆行、违法载人、酒驾、毒驾、非法营运等严重交通违法行为。</w:t>
      </w:r>
    </w:p>
    <w:p w:rsidR="00E604C3" w:rsidRPr="00E604C3" w:rsidRDefault="00E604C3" w:rsidP="00E604C3">
      <w:pPr>
        <w:widowControl/>
        <w:shd w:val="clear" w:color="auto" w:fill="FFFFFF"/>
        <w:spacing w:line="570" w:lineRule="atLeast"/>
        <w:ind w:firstLine="480"/>
        <w:jc w:val="lef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六、对设计最高时速≦25km/h，额定功率总和≦400w，外廓尺寸前后轮中心距≦1.25 m、宽≦0.45 m、高≦1.1m的低速电动车</w:t>
      </w:r>
      <w:proofErr w:type="gramStart"/>
      <w:r w:rsidRPr="00E604C3">
        <w:rPr>
          <w:rFonts w:ascii="方正楷体_GBK" w:eastAsia="方正楷体_GBK" w:hAnsi="FangSong" w:cs="宋体" w:hint="eastAsia"/>
          <w:color w:val="333333"/>
          <w:kern w:val="0"/>
          <w:sz w:val="32"/>
          <w:szCs w:val="32"/>
        </w:rPr>
        <w:t>上道路</w:t>
      </w:r>
      <w:proofErr w:type="gramEnd"/>
      <w:r w:rsidRPr="00E604C3">
        <w:rPr>
          <w:rFonts w:ascii="方正楷体_GBK" w:eastAsia="方正楷体_GBK" w:hAnsi="FangSong" w:cs="宋体" w:hint="eastAsia"/>
          <w:color w:val="333333"/>
          <w:kern w:val="0"/>
          <w:sz w:val="32"/>
          <w:szCs w:val="32"/>
        </w:rPr>
        <w:t>通行，参照道路交通安全法律法规有关非机动车相关规定进行管理，其他低速电动车参照道路交通安全法律法规有关机动车相关规定进行管理。</w:t>
      </w:r>
    </w:p>
    <w:p w:rsidR="00E604C3" w:rsidRPr="00E604C3" w:rsidRDefault="00E604C3" w:rsidP="00E604C3">
      <w:pPr>
        <w:widowControl/>
        <w:shd w:val="clear" w:color="auto" w:fill="FFFFFF"/>
        <w:spacing w:line="570" w:lineRule="atLeast"/>
        <w:ind w:firstLine="480"/>
        <w:jc w:val="lef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lastRenderedPageBreak/>
        <w:t>七、对于违规建设低速电动车投资项目，违规生产、销售低速电动车，虚假宣传误导消费者购买低速电动车，违规占道经营等行为，将依法予以查处。</w:t>
      </w:r>
    </w:p>
    <w:p w:rsidR="00E604C3" w:rsidRPr="00E604C3" w:rsidRDefault="00E604C3" w:rsidP="00E604C3">
      <w:pPr>
        <w:widowControl/>
        <w:shd w:val="clear" w:color="auto" w:fill="FFFFFF"/>
        <w:spacing w:line="570" w:lineRule="atLeast"/>
        <w:ind w:firstLine="480"/>
        <w:jc w:val="lef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八、本通告自2024年9月23日起施行。国家另有规定的，从其规定。</w:t>
      </w:r>
    </w:p>
    <w:p w:rsidR="00E604C3" w:rsidRPr="00E604C3" w:rsidRDefault="00E604C3" w:rsidP="00E604C3">
      <w:pPr>
        <w:widowControl/>
        <w:shd w:val="clear" w:color="auto" w:fill="FFFFFF"/>
        <w:jc w:val="left"/>
        <w:rPr>
          <w:rFonts w:ascii="MicrosoftYaHei" w:eastAsia="宋体" w:hAnsi="MicrosoftYaHei" w:cs="宋体"/>
          <w:color w:val="333333"/>
          <w:kern w:val="0"/>
          <w:szCs w:val="21"/>
        </w:rPr>
      </w:pPr>
      <w:r w:rsidRPr="00E604C3">
        <w:rPr>
          <w:rFonts w:ascii="方正楷体_GBK" w:eastAsia="方正楷体_GBK" w:hAnsi="MicrosoftYaHei" w:cs="宋体" w:hint="eastAsia"/>
          <w:color w:val="333333"/>
          <w:kern w:val="0"/>
          <w:sz w:val="32"/>
          <w:szCs w:val="32"/>
        </w:rPr>
        <w:t> </w:t>
      </w:r>
    </w:p>
    <w:p w:rsidR="00E604C3" w:rsidRPr="00E604C3" w:rsidRDefault="00E604C3" w:rsidP="00E604C3">
      <w:pPr>
        <w:widowControl/>
        <w:shd w:val="clear" w:color="auto" w:fill="FFFFFF"/>
        <w:jc w:val="left"/>
        <w:rPr>
          <w:rFonts w:ascii="MicrosoftYaHei" w:eastAsia="宋体" w:hAnsi="MicrosoftYaHei" w:cs="宋体"/>
          <w:color w:val="333333"/>
          <w:kern w:val="0"/>
          <w:szCs w:val="21"/>
        </w:rPr>
      </w:pPr>
      <w:r w:rsidRPr="00E604C3">
        <w:rPr>
          <w:rFonts w:ascii="方正楷体_GBK" w:eastAsia="方正楷体_GBK" w:hAnsi="MicrosoftYaHei" w:cs="宋体" w:hint="eastAsia"/>
          <w:color w:val="333333"/>
          <w:kern w:val="0"/>
          <w:sz w:val="32"/>
          <w:szCs w:val="32"/>
        </w:rPr>
        <w:t> </w:t>
      </w:r>
    </w:p>
    <w:p w:rsidR="00E604C3" w:rsidRPr="00E604C3" w:rsidRDefault="00E604C3" w:rsidP="00E604C3">
      <w:pPr>
        <w:widowControl/>
        <w:shd w:val="clear" w:color="auto" w:fill="FFFFFF"/>
        <w:spacing w:line="570" w:lineRule="atLeast"/>
        <w:jc w:val="righ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重庆市公安局</w:t>
      </w:r>
      <w:r w:rsidRPr="00E604C3">
        <w:rPr>
          <w:rFonts w:ascii="方正楷体_GBK" w:eastAsia="方正楷体_GBK" w:hAnsi="FangSong" w:cs="宋体" w:hint="eastAsia"/>
          <w:color w:val="333333"/>
          <w:kern w:val="0"/>
          <w:sz w:val="32"/>
          <w:szCs w:val="32"/>
        </w:rPr>
        <w:t>         </w:t>
      </w:r>
      <w:r w:rsidRPr="00E604C3">
        <w:rPr>
          <w:rFonts w:ascii="方正楷体_GBK" w:eastAsia="方正楷体_GBK" w:hAnsi="FangSong" w:cs="宋体" w:hint="eastAsia"/>
          <w:color w:val="333333"/>
          <w:kern w:val="0"/>
          <w:sz w:val="32"/>
          <w:szCs w:val="32"/>
        </w:rPr>
        <w:t xml:space="preserve"> </w:t>
      </w:r>
      <w:r w:rsidRPr="00E604C3">
        <w:rPr>
          <w:rFonts w:ascii="方正楷体_GBK" w:eastAsia="方正楷体_GBK" w:hAnsi="FangSong" w:cs="宋体" w:hint="eastAsia"/>
          <w:color w:val="333333"/>
          <w:kern w:val="0"/>
          <w:sz w:val="32"/>
          <w:szCs w:val="32"/>
        </w:rPr>
        <w:t>  </w:t>
      </w:r>
      <w:r w:rsidRPr="00E604C3">
        <w:rPr>
          <w:rFonts w:ascii="方正楷体_GBK" w:eastAsia="方正楷体_GBK" w:hAnsi="FangSong" w:cs="宋体" w:hint="eastAsia"/>
          <w:color w:val="333333"/>
          <w:kern w:val="0"/>
          <w:sz w:val="32"/>
          <w:szCs w:val="32"/>
        </w:rPr>
        <w:t xml:space="preserve"> 重庆市发展和改革委员会</w:t>
      </w:r>
    </w:p>
    <w:p w:rsidR="00E604C3" w:rsidRPr="00E604C3" w:rsidRDefault="00E604C3" w:rsidP="00E604C3">
      <w:pPr>
        <w:widowControl/>
        <w:shd w:val="clear" w:color="auto" w:fill="FFFFFF"/>
        <w:spacing w:line="570" w:lineRule="atLeast"/>
        <w:jc w:val="righ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重庆市经济和信息化委员会</w:t>
      </w:r>
      <w:r w:rsidRPr="00E604C3">
        <w:rPr>
          <w:rFonts w:ascii="方正楷体_GBK" w:eastAsia="方正楷体_GBK" w:hAnsi="FangSong" w:cs="宋体" w:hint="eastAsia"/>
          <w:color w:val="333333"/>
          <w:kern w:val="0"/>
          <w:sz w:val="32"/>
          <w:szCs w:val="32"/>
        </w:rPr>
        <w:t>    </w:t>
      </w:r>
      <w:r w:rsidRPr="00E604C3">
        <w:rPr>
          <w:rFonts w:ascii="方正楷体_GBK" w:eastAsia="方正楷体_GBK" w:hAnsi="FangSong" w:cs="宋体" w:hint="eastAsia"/>
          <w:color w:val="333333"/>
          <w:kern w:val="0"/>
          <w:sz w:val="32"/>
          <w:szCs w:val="32"/>
        </w:rPr>
        <w:t xml:space="preserve"> 重庆市城市管理局</w:t>
      </w:r>
    </w:p>
    <w:p w:rsidR="00E604C3" w:rsidRPr="00E604C3" w:rsidRDefault="00E604C3" w:rsidP="00E604C3">
      <w:pPr>
        <w:widowControl/>
        <w:shd w:val="clear" w:color="auto" w:fill="FFFFFF"/>
        <w:spacing w:line="570" w:lineRule="atLeast"/>
        <w:jc w:val="righ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 </w:t>
      </w:r>
      <w:r w:rsidRPr="00E604C3">
        <w:rPr>
          <w:rFonts w:ascii="方正楷体_GBK" w:eastAsia="方正楷体_GBK" w:hAnsi="FangSong" w:cs="宋体" w:hint="eastAsia"/>
          <w:color w:val="333333"/>
          <w:kern w:val="0"/>
          <w:sz w:val="32"/>
          <w:szCs w:val="32"/>
        </w:rPr>
        <w:t xml:space="preserve"> 重庆市交通运输委员会</w:t>
      </w:r>
      <w:r w:rsidRPr="00E604C3">
        <w:rPr>
          <w:rFonts w:ascii="方正楷体_GBK" w:eastAsia="方正楷体_GBK" w:hAnsi="FangSong" w:cs="宋体" w:hint="eastAsia"/>
          <w:color w:val="333333"/>
          <w:kern w:val="0"/>
          <w:sz w:val="32"/>
          <w:szCs w:val="32"/>
        </w:rPr>
        <w:t>        </w:t>
      </w:r>
      <w:r w:rsidRPr="00E604C3">
        <w:rPr>
          <w:rFonts w:ascii="方正楷体_GBK" w:eastAsia="方正楷体_GBK" w:hAnsi="FangSong" w:cs="宋体" w:hint="eastAsia"/>
          <w:color w:val="333333"/>
          <w:kern w:val="0"/>
          <w:sz w:val="32"/>
          <w:szCs w:val="32"/>
        </w:rPr>
        <w:t xml:space="preserve"> 重庆市市场监督管理局</w:t>
      </w:r>
    </w:p>
    <w:p w:rsidR="00E604C3" w:rsidRPr="00E604C3" w:rsidRDefault="00E604C3" w:rsidP="00E604C3">
      <w:pPr>
        <w:widowControl/>
        <w:shd w:val="clear" w:color="auto" w:fill="FFFFFF"/>
        <w:spacing w:line="570" w:lineRule="atLeast"/>
        <w:jc w:val="right"/>
        <w:rPr>
          <w:rFonts w:ascii="FangSong" w:eastAsia="宋体" w:hAnsi="FangSong" w:cs="宋体"/>
          <w:color w:val="333333"/>
          <w:kern w:val="0"/>
          <w:sz w:val="32"/>
          <w:szCs w:val="32"/>
        </w:rPr>
      </w:pPr>
      <w:r w:rsidRPr="00E604C3">
        <w:rPr>
          <w:rFonts w:ascii="方正楷体_GBK" w:eastAsia="方正楷体_GBK" w:hAnsi="FangSong" w:cs="宋体" w:hint="eastAsia"/>
          <w:color w:val="333333"/>
          <w:kern w:val="0"/>
          <w:sz w:val="32"/>
          <w:szCs w:val="32"/>
        </w:rPr>
        <w:t>                         </w:t>
      </w:r>
      <w:r w:rsidRPr="00E604C3">
        <w:rPr>
          <w:rFonts w:ascii="方正楷体_GBK" w:eastAsia="方正楷体_GBK" w:hAnsi="FangSong" w:cs="宋体" w:hint="eastAsia"/>
          <w:color w:val="333333"/>
          <w:kern w:val="0"/>
          <w:sz w:val="32"/>
          <w:szCs w:val="32"/>
        </w:rPr>
        <w:t xml:space="preserve"> 2024年9月23日</w:t>
      </w:r>
    </w:p>
    <w:p w:rsidR="00295ACF" w:rsidRDefault="00295ACF">
      <w:bookmarkStart w:id="0" w:name="_GoBack"/>
      <w:bookmarkEnd w:id="0"/>
    </w:p>
    <w:sectPr w:rsidR="00295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MicrosoftYaHei">
    <w:altName w:val="Times New Roman"/>
    <w:panose1 w:val="00000000000000000000"/>
    <w:charset w:val="00"/>
    <w:family w:val="roman"/>
    <w:notTrueType/>
    <w:pitch w:val="default"/>
  </w:font>
  <w:font w:name="FangSo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3D"/>
    <w:rsid w:val="00295ACF"/>
    <w:rsid w:val="00E604C3"/>
    <w:rsid w:val="00FA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380A1-CEB1-4E3D-9248-1BE6D116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4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2024-09-25T06:19:00Z</dcterms:created>
  <dcterms:modified xsi:type="dcterms:W3CDTF">2024-09-25T06:19:00Z</dcterms:modified>
</cp:coreProperties>
</file>