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编号：南岸交〔2025〕001990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重庆亚联胜新型建材有限公司: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08</w:t>
      </w:r>
      <w:r>
        <w:rPr>
          <w:spacing w:val="-39"/>
        </w:rPr>
        <w:t> 月 </w:t>
      </w:r>
      <w:r>
        <w:rPr/>
        <w:t>20</w:t>
      </w:r>
      <w:r>
        <w:rPr>
          <w:spacing w:val="-11"/>
        </w:rPr>
        <w:t> 日向本机关提出的关于重庆亚联</w:t>
      </w:r>
      <w:r>
        <w:rPr>
          <w:spacing w:val="-8"/>
        </w:rPr>
        <w:t>胜新型建材有限公司-普通货物运输经营许可已收悉。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经营范围：货物专用运输(罐式)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08 月 20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2025-08-29T06:48:40Z</dcterms:created>
  <dcterms:modified xsi:type="dcterms:W3CDTF">2025-08-29T06:48:40Z</dcterms:modified>
</cp:coreProperties>
</file>