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C6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center"/>
        <w:rPr>
          <w:rFonts w:ascii="微软雅黑" w:hAnsi="微软雅黑" w:eastAsia="微软雅黑" w:cs="微软雅黑"/>
          <w:b/>
          <w:bCs/>
          <w:i w:val="0"/>
          <w:iCs w:val="0"/>
          <w:caps w:val="0"/>
          <w:spacing w:val="0"/>
          <w:sz w:val="43"/>
          <w:szCs w:val="43"/>
        </w:rPr>
      </w:pPr>
      <w:r>
        <w:rPr>
          <w:rFonts w:ascii="微软雅黑" w:hAnsi="微软雅黑" w:eastAsia="微软雅黑" w:cs="微软雅黑"/>
          <w:b/>
          <w:bCs/>
          <w:i w:val="0"/>
          <w:iCs w:val="0"/>
          <w:caps w:val="0"/>
          <w:spacing w:val="0"/>
          <w:sz w:val="43"/>
          <w:szCs w:val="43"/>
        </w:rPr>
        <w:t>南岸区人民政府2023年以来履行</w:t>
      </w:r>
    </w:p>
    <w:p w14:paraId="6771C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center"/>
        <w:rPr>
          <w:rFonts w:hint="eastAsia" w:ascii="微软雅黑" w:hAnsi="微软雅黑" w:eastAsia="微软雅黑" w:cs="微软雅黑"/>
          <w:i w:val="0"/>
          <w:iCs w:val="0"/>
          <w:caps w:val="0"/>
          <w:spacing w:val="0"/>
          <w:sz w:val="32"/>
          <w:szCs w:val="32"/>
          <w:bdr w:val="none" w:color="auto" w:sz="0" w:space="0"/>
        </w:rPr>
      </w:pPr>
      <w:r>
        <w:rPr>
          <w:rFonts w:ascii="微软雅黑" w:hAnsi="微软雅黑" w:eastAsia="微软雅黑" w:cs="微软雅黑"/>
          <w:b/>
          <w:bCs/>
          <w:i w:val="0"/>
          <w:iCs w:val="0"/>
          <w:caps w:val="0"/>
          <w:spacing w:val="0"/>
          <w:sz w:val="43"/>
          <w:szCs w:val="43"/>
        </w:rPr>
        <w:t>教育职责自评情况的报告</w:t>
      </w:r>
      <w:bookmarkStart w:id="0" w:name="_GoBack"/>
      <w:bookmarkEnd w:id="0"/>
    </w:p>
    <w:p w14:paraId="26D91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按照《重庆市教育委员会重庆市人民政府教育督导室关于印送2024年对区县人民政府履行教育职责评价方案的函》（渝教函〔2024〕113号）要求，我区政府高度重视，逐项开展自查，现将自查情况报告如下：</w:t>
      </w:r>
    </w:p>
    <w:p w14:paraId="68454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一、主要做法及成效</w:t>
      </w:r>
    </w:p>
    <w:p w14:paraId="7A2B7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shd w:val="clear" w:fill="FFFFFF"/>
        </w:rPr>
        <w:t>（一）健全教育领导体制，全面推进依法治教。建立党委统一领导、党政齐抓共管，部门各司其职的体制机制。2023年召开区委常委会1次、区政府常务会9次，区委教育工作领导小组专题会议4次，区政府教育督导委专题会议2次，研究教育发展有关事宜。区委、区政府研究落实意识形态工作责任2次，教育工委专题研究2次，结合校园安全、纪检监督、风险排查等会议传达部署20余次。全区66所公办中小学校全面落实党组织领导的校长负责制。健全党政主要负责同志深入教育一线调研、联系学校和年终述职必述教育工作制度，区委区政府主要负责同志深入教育一线调研17次。以提高领导干部用法治思维和法治方式治校办学为关键，推进学校全面依法治校，培育首批区级依法治校示范级校8所，珊瑚实验小学被命名为重庆市依法治校示范校，并择优推荐参评全国依法治校示范校。将全区298 所中小学幼儿园全部纳入“雪亮工程”,安装视频监控1.8万余个。法治副校长进校园200余校次，对未成年人实施性侵、猥亵、强奸等违法犯罪前科人员实行“黑名单”管理。严格执行市教委规范办学行为的政策要求，实行“免试就近”入学。</w:t>
      </w:r>
    </w:p>
    <w:p w14:paraId="78204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shd w:val="clear" w:fill="FFFFFF"/>
        </w:rPr>
        <w:t>（二）聚焦优质均衡，坚定率先创建一盘棋。</w:t>
      </w:r>
      <w:r>
        <w:rPr>
          <w:rFonts w:hint="eastAsia" w:ascii="微软雅黑" w:hAnsi="微软雅黑" w:eastAsia="微软雅黑" w:cs="微软雅黑"/>
          <w:i w:val="0"/>
          <w:iCs w:val="0"/>
          <w:caps w:val="0"/>
          <w:spacing w:val="0"/>
          <w:sz w:val="32"/>
          <w:szCs w:val="32"/>
          <w:bdr w:val="none" w:color="auto" w:sz="0" w:space="0"/>
        </w:rPr>
        <w:t>区委、区政府将创建全国义务教育优质均衡发展区作为着力构建优质均衡的基本公共教育服务体系的一号工程，坚持政府主责，坚持优先保障，坚持内涵发展，坚持改革创新，聚焦创建基本任务和攻坚清单，进一步加强制度创新，持续强化条件保障，更加注重学校内涵建设，于2023年6月通过了市级督导评估，成为全市率先接受国家督导评估认定的4个区之一。11月7日，教育部教育督导局实地调研指导，充分肯定我区的创建举措。11月14日在重庆市创建推进工作会上分享南岸经验，2024年初，我区“大力推进县域义务教育优质均衡发展”督查激励项目通过市级评估验收。</w:t>
      </w:r>
    </w:p>
    <w:p w14:paraId="212EE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shd w:val="clear" w:fill="FFFFFF"/>
        </w:rPr>
        <w:t>（三）坚持教育优先发展，完善数字教育基础条件。</w:t>
      </w:r>
      <w:r>
        <w:rPr>
          <w:rFonts w:hint="eastAsia" w:ascii="微软雅黑" w:hAnsi="微软雅黑" w:eastAsia="微软雅黑" w:cs="微软雅黑"/>
          <w:i w:val="0"/>
          <w:iCs w:val="0"/>
          <w:caps w:val="0"/>
          <w:spacing w:val="0"/>
          <w:sz w:val="32"/>
          <w:szCs w:val="32"/>
          <w:bdr w:val="none" w:color="auto" w:sz="0" w:space="0"/>
        </w:rPr>
        <w:t>坚持“两个只增不减”，2023年我区一般公共预算教育支出增长1.03%；义务教育生均一般公共预算教育支出增长为：小学0.32%、初中3.17%，建立各学段生均公用经费保障机制和动态调整机制。加大校舍安全保障和薄改计划资金管理及监督，下达校舍安全保障长效机制资金1661.45万元、义务教育薄弱环节改善与能力提升项目资金2678万元，严格执行预算一体化支付。完善数字教育基础条件，实现固定宽带网络万兆到区、千兆到校、百兆到班，网络多媒体教室百生数为3.04间、3.57间，建成市级智慧校园示范校21所，2023年被评为重庆市智慧教育示范区县。</w:t>
      </w:r>
    </w:p>
    <w:p w14:paraId="5BEB74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shd w:val="clear" w:fill="FFFFFF"/>
        </w:rPr>
        <w:t>（四）实施基础教育扩优提质行动，统筹推进区域教育高质量发展。</w:t>
      </w:r>
      <w:r>
        <w:rPr>
          <w:rFonts w:hint="eastAsia" w:ascii="微软雅黑" w:hAnsi="微软雅黑" w:eastAsia="微软雅黑" w:cs="微软雅黑"/>
          <w:i w:val="0"/>
          <w:iCs w:val="0"/>
          <w:caps w:val="0"/>
          <w:spacing w:val="0"/>
          <w:sz w:val="32"/>
          <w:szCs w:val="32"/>
          <w:bdr w:val="none" w:color="auto" w:sz="0" w:space="0"/>
        </w:rPr>
        <w:t>全区幼儿园公办率提高到53.85%，普惠率达96.54%，二级园及以上等级园所数为162所，优质率79.80%，学前三年毛入园率达100%。义务教育学校集团化办学100%全覆盖，校际综合差异系数低于0.5。重庆市特殊教育中心牵头推动融合教育提档升级，适龄残疾儿童青少年义务教育入学率达到98.11%。出台《南岸区非学科类校外培训机构审批及管理工作实施方案》，对全区150余家校外培训机构开展集中培训；依托全国校外教育培训监管与服务综合平台，覆盖订单金额2967.67万元，存入风险保证金1429.68万元；立案查处1家违规开展学科类培训的机构。投入近5000万元用于职业教育设备购置与更新改造，办学条件全面达标。加强体育、美育和劳动教育和学生卫生健康服务。参加第一届全国学生（青年）运动会获得1金4银，为重庆代表团摘得首金；参加全国第七届中小学生艺术展演获一等奖3个、二等奖3个；投入706.53万元为全区2.8万学生提供营养午餐和饮用奶；全覆盖实施视力筛查126000人，学校配备专职卫生技术人员 71 人，兼职保健教师 61人；组织青少年心理健康教育活动200余场次，心理健康辅导室覆盖率100％，建立“一生一案”心理健康台账；参加市首届劳动课优质课竞赛活动，获一等奖3项，二等奖1项。五是加强教师队伍建设，2022年我区义教教师年均工资收入17.1649万元，高于公务员年均工资收入。</w:t>
      </w:r>
    </w:p>
    <w:p w14:paraId="27A6A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五）紧盯关键环节，不断提升校园安全稳定水平。区委教育工作领导小组综合施策，提升校园防护能力，净化未成年人成长环境。持续开展“护校安园”专项行动，印发《南岸区2023年校园及周边社会治安综合整治专项行动工作方案》，实施“护苗2023”专项行动，落实属地管理、分级责任，联防联控、合力守护，夯实校园安防基础。加强校园安全基础建设和日常管理，全覆盖拉网式排查，对其中5所学校大跨度体育场馆进行了结构安全鉴定；投入资金560万元整治学校安全隐患面积约27300㎡。</w:t>
      </w:r>
    </w:p>
    <w:p w14:paraId="06C5E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二、存在的问题及整改举措</w:t>
      </w:r>
    </w:p>
    <w:p w14:paraId="0561A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（一）教育领域基层党建品牌特色亮点还不突出。具有南岸教育辨识度和区域学校办学特色的党建品牌树推不多，基层党建工作特色亮点提炼还不够明显，示范学校的带动引领未充分体现。</w:t>
      </w:r>
    </w:p>
    <w:p w14:paraId="5B6D7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b/>
          <w:bCs/>
          <w:i w:val="0"/>
          <w:iCs w:val="0"/>
          <w:caps w:val="0"/>
          <w:spacing w:val="0"/>
          <w:sz w:val="32"/>
          <w:szCs w:val="32"/>
          <w:bdr w:val="none" w:color="auto" w:sz="0" w:space="0"/>
        </w:rPr>
        <w:t>整改举措：</w:t>
      </w:r>
      <w:r>
        <w:rPr>
          <w:rFonts w:hint="eastAsia" w:ascii="微软雅黑" w:hAnsi="微软雅黑" w:eastAsia="微软雅黑" w:cs="微软雅黑"/>
          <w:i w:val="0"/>
          <w:iCs w:val="0"/>
          <w:caps w:val="0"/>
          <w:spacing w:val="0"/>
          <w:sz w:val="32"/>
          <w:szCs w:val="32"/>
          <w:bdr w:val="none" w:color="auto" w:sz="0" w:space="0"/>
        </w:rPr>
        <w:t>进一步提升党建统领水平。牢牢把握教育的政治属性、战略属性和民生属性，巩固深化主题教育成果，用好党建统领关键变量，抓实“885”党建统领工作机制建设，推进党建统领基层治理现代化改革，扎实推动教育重点任务落地见效。</w:t>
      </w:r>
    </w:p>
    <w:p w14:paraId="010E6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（二）未成年人保护工作面临的形势依然严峻。当前，我区涉未成年人案件仍有发生，未成年人保护工作面临的形势依然严峻。</w:t>
      </w:r>
    </w:p>
    <w:p w14:paraId="0D5947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微软雅黑" w:hAnsi="微软雅黑" w:eastAsia="微软雅黑" w:cs="微软雅黑"/>
          <w:i w:val="0"/>
          <w:iCs w:val="0"/>
          <w:caps w:val="0"/>
          <w:spacing w:val="0"/>
        </w:rPr>
      </w:pPr>
      <w:r>
        <w:rPr>
          <w:rFonts w:hint="eastAsia" w:ascii="微软雅黑" w:hAnsi="微软雅黑" w:eastAsia="微软雅黑" w:cs="微软雅黑"/>
          <w:b/>
          <w:bCs/>
          <w:i w:val="0"/>
          <w:iCs w:val="0"/>
          <w:caps w:val="0"/>
          <w:spacing w:val="0"/>
          <w:sz w:val="32"/>
          <w:szCs w:val="32"/>
          <w:bdr w:val="none" w:color="auto" w:sz="0" w:space="0"/>
        </w:rPr>
        <w:t>整改举措：</w:t>
      </w:r>
      <w:r>
        <w:rPr>
          <w:rFonts w:hint="eastAsia" w:ascii="微软雅黑" w:hAnsi="微软雅黑" w:eastAsia="微软雅黑" w:cs="微软雅黑"/>
          <w:i w:val="0"/>
          <w:iCs w:val="0"/>
          <w:caps w:val="0"/>
          <w:spacing w:val="0"/>
          <w:sz w:val="32"/>
          <w:szCs w:val="32"/>
          <w:bdr w:val="none" w:color="auto" w:sz="0" w:space="0"/>
        </w:rPr>
        <w:t>加大统筹力度，建立健全政法、公安、教育、妇联、共青团等多部门协同联动机制，形成齐抓共管的工作合力；结合“莎姐守未”专项行动和“百万警进千万家”等活动，持续推进法治教育进校家社，共同营造未成年人健康成长的良好环境；加大打击处理力度，对针对未成年人实施的强奸、强制猥亵等性侵犯罪保持“零容忍”，最大限度强化打击震慑效果，推进社会治安综合治理。</w:t>
      </w:r>
    </w:p>
    <w:p w14:paraId="62A727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（三）部分新建规划校点项目需加快推进。部分新建规划学校项目因资金保障、征地拆迁和手续审批等问题推进缓慢。</w:t>
      </w:r>
    </w:p>
    <w:p w14:paraId="2C992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b/>
          <w:bCs/>
          <w:i w:val="0"/>
          <w:iCs w:val="0"/>
          <w:caps w:val="0"/>
          <w:spacing w:val="0"/>
          <w:sz w:val="32"/>
          <w:szCs w:val="32"/>
          <w:bdr w:val="none" w:color="auto" w:sz="0" w:space="0"/>
        </w:rPr>
        <w:t>整改举措：</w:t>
      </w:r>
      <w:r>
        <w:rPr>
          <w:rFonts w:hint="eastAsia" w:ascii="微软雅黑" w:hAnsi="微软雅黑" w:eastAsia="微软雅黑" w:cs="微软雅黑"/>
          <w:i w:val="0"/>
          <w:iCs w:val="0"/>
          <w:caps w:val="0"/>
          <w:spacing w:val="0"/>
          <w:sz w:val="32"/>
          <w:szCs w:val="32"/>
          <w:bdr w:val="none" w:color="auto" w:sz="0" w:space="0"/>
        </w:rPr>
        <w:t>结合我区现状深入研究适龄儿童入学结构变化趋势，优化新建学校项目计划，按轻重缓急有序推进；将学校建设项目纳入我区民生实事项目库，多渠道筹措资金予以保障；强化部门、社区联动，妥善解决征拆及建设中的难点问题；深化健全协同机制，建立项目专班，探索“学校建设快办”绿色通道，扫清前期手续办理障碍。</w:t>
      </w:r>
    </w:p>
    <w:p w14:paraId="5BF84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四）教育数字化转型还需再发力。国家和市级教育主管部门都明确提出“实施教育数字化战略行动”，将教育数字化转型作为推进教育现代化建设与高质量发展的重要引擎和关键特征，其核心就是要推动教学范式、组织架构、教学过程、评价方式等全方位的创新与变革，对教师信息化素养和能力提出了新的更高的要求。</w:t>
      </w:r>
    </w:p>
    <w:p w14:paraId="4D451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b/>
          <w:bCs/>
          <w:i w:val="0"/>
          <w:iCs w:val="0"/>
          <w:caps w:val="0"/>
          <w:spacing w:val="0"/>
          <w:sz w:val="32"/>
          <w:szCs w:val="32"/>
          <w:bdr w:val="none" w:color="auto" w:sz="0" w:space="0"/>
        </w:rPr>
        <w:t>整改举措：</w:t>
      </w:r>
      <w:r>
        <w:rPr>
          <w:rFonts w:hint="eastAsia" w:ascii="微软雅黑" w:hAnsi="微软雅黑" w:eastAsia="微软雅黑" w:cs="微软雅黑"/>
          <w:i w:val="0"/>
          <w:iCs w:val="0"/>
          <w:caps w:val="0"/>
          <w:spacing w:val="0"/>
          <w:sz w:val="32"/>
          <w:szCs w:val="32"/>
          <w:bdr w:val="none" w:color="auto" w:sz="0" w:space="0"/>
        </w:rPr>
        <w:t>我区将从推进小切口教育数字化转型场景和加强教师应用能力培训两方面入手，坚持应用为王，探索人工智能、大数据、云计算等技术支撑下的教与学模式，让教育数字化在学生中形成意识、在教师中形成观念、在学校中形成模式，促进学生和教师都得到更好的发展。</w:t>
      </w:r>
    </w:p>
    <w:p w14:paraId="536238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（五）隐形变异学科类校外培训查处难度大。培训机构或个人转入“地下”，以“住家教师”“托管”等名义，在咖啡厅、酒店、居民楼等场所违规开展学科类培训，存在“发现难、认定难、查处难”等问题。</w:t>
      </w:r>
    </w:p>
    <w:p w14:paraId="1AA17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b/>
          <w:bCs/>
          <w:i w:val="0"/>
          <w:iCs w:val="0"/>
          <w:caps w:val="0"/>
          <w:spacing w:val="0"/>
          <w:sz w:val="32"/>
          <w:szCs w:val="32"/>
          <w:bdr w:val="none" w:color="auto" w:sz="0" w:space="0"/>
        </w:rPr>
        <w:t>整改举措：</w:t>
      </w:r>
      <w:r>
        <w:rPr>
          <w:rFonts w:hint="eastAsia" w:ascii="微软雅黑" w:hAnsi="微软雅黑" w:eastAsia="微软雅黑" w:cs="微软雅黑"/>
          <w:i w:val="0"/>
          <w:iCs w:val="0"/>
          <w:caps w:val="0"/>
          <w:spacing w:val="0"/>
          <w:sz w:val="32"/>
          <w:szCs w:val="32"/>
          <w:bdr w:val="none" w:color="auto" w:sz="0" w:space="0"/>
        </w:rPr>
        <w:t>深入推进校外培训网格化治理，运用“镇街吹哨、部门报到”工作机制，持续加大执法检查力度，坚持发现一起、查处一起、通报一起，形成警示震慑，创新监管方式。推进“互联网+监管”，探索将违规培训的机构和个人信息，纳入全国信用信息共享平台，实施联合惩戒，进一步加大“双减”宣传力度。通过公众号、新闻媒体、家长会等多种渠道积极宣传“双减”政策，通报查处典型案例，积极引导家长理性看待校外培训的作用。</w:t>
      </w:r>
    </w:p>
    <w:p w14:paraId="0099A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                   </w:t>
      </w:r>
    </w:p>
    <w:p w14:paraId="465CC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 </w:t>
      </w:r>
    </w:p>
    <w:p w14:paraId="25413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0" w:right="0" w:firstLine="0"/>
        <w:jc w:val="right"/>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 重庆市南岸区人民政府办公室</w:t>
      </w:r>
    </w:p>
    <w:p w14:paraId="0D3FC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right"/>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sz w:val="32"/>
          <w:szCs w:val="32"/>
          <w:bdr w:val="none" w:color="auto" w:sz="0" w:space="0"/>
        </w:rPr>
        <w:t>2024年4月15日  </w:t>
      </w:r>
    </w:p>
    <w:p w14:paraId="096D6C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4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2025-08-14T06:51:38Z</dcterms:created>
  <dc:creator>Administrator</dc:creator>
  <cp:lastModifiedBy>韩笑</cp:lastModifiedBy>
  <dcterms:modified xsi:type="dcterms:W3CDTF">2025-08-14T06:53:14Z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eyJoZGlkIjoiMGI1YTlhZGI4YzI1ZmFiNmEzMDY3MDg2NWNkNGFkYTIiLCJ1c2VySWQiOiIzMDgyNzQzNjQifQ==</vt:lpwstr>
  </property>
  <property fmtid="{D5CDD505-2E9C-101B-9397-08002B2CF9AE}" pid="4" name="ICV">
    <vt:lpwstr>1243CB5AC5534F8498AF95E5E0891E64_12</vt:lpwstr>
  </property>
</Properties>
</file>