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cs="黑体"/>
          <w:color w:val="auto"/>
          <w:spacing w:val="-11"/>
          <w:w w:val="95"/>
          <w:sz w:val="44"/>
          <w:szCs w:val="44"/>
          <w:lang w:eastAsia="zh-CN"/>
        </w:rPr>
      </w:pPr>
      <w:r>
        <w:rPr>
          <w:rFonts w:hint="eastAsia" w:eastAsia="方正小标宋_GBK" w:cs="黑体"/>
          <w:color w:val="auto"/>
          <w:spacing w:val="-11"/>
          <w:w w:val="95"/>
          <w:sz w:val="44"/>
          <w:szCs w:val="44"/>
          <w:lang w:val="en-US" w:eastAsia="zh-CN"/>
        </w:rPr>
        <w:t>重庆市南岸区科学技术局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cs="黑体"/>
          <w:color w:val="auto"/>
          <w:spacing w:val="-11"/>
          <w:w w:val="95"/>
          <w:sz w:val="44"/>
          <w:szCs w:val="44"/>
          <w:lang w:eastAsia="zh-CN"/>
        </w:rPr>
      </w:pPr>
      <w:r>
        <w:rPr>
          <w:rFonts w:hint="eastAsia" w:eastAsia="方正小标宋_GBK" w:cs="黑体"/>
          <w:color w:val="auto"/>
          <w:spacing w:val="-11"/>
          <w:w w:val="95"/>
          <w:sz w:val="44"/>
          <w:szCs w:val="44"/>
          <w:lang w:eastAsia="zh-CN"/>
        </w:rPr>
        <w:t>关于印发《</w:t>
      </w:r>
      <w:r>
        <w:rPr>
          <w:rFonts w:hint="eastAsia" w:eastAsia="方正小标宋_GBK" w:cs="黑体"/>
          <w:color w:val="auto"/>
          <w:spacing w:val="-11"/>
          <w:w w:val="95"/>
          <w:sz w:val="44"/>
          <w:szCs w:val="44"/>
        </w:rPr>
        <w:t>南岸区</w:t>
      </w:r>
      <w:r>
        <w:rPr>
          <w:rFonts w:hint="eastAsia" w:eastAsia="方正小标宋_GBK" w:cs="黑体"/>
          <w:color w:val="auto"/>
          <w:spacing w:val="-11"/>
          <w:w w:val="95"/>
          <w:sz w:val="44"/>
          <w:szCs w:val="44"/>
          <w:lang w:eastAsia="zh-CN"/>
        </w:rPr>
        <w:t>、</w:t>
      </w:r>
      <w:r>
        <w:rPr>
          <w:rFonts w:hint="eastAsia" w:eastAsia="方正小标宋_GBK" w:cs="黑体"/>
          <w:color w:val="auto"/>
          <w:spacing w:val="-11"/>
          <w:w w:val="95"/>
          <w:sz w:val="44"/>
          <w:szCs w:val="44"/>
        </w:rPr>
        <w:t>重庆经开区科技创新政策实施细则</w:t>
      </w:r>
      <w:r>
        <w:rPr>
          <w:rFonts w:hint="eastAsia" w:eastAsia="方正小标宋_GBK" w:cs="黑体"/>
          <w:color w:val="auto"/>
          <w:spacing w:val="-11"/>
          <w:w w:val="95"/>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740" w:lineRule="exact"/>
        <w:ind w:firstLine="313" w:firstLineChars="98"/>
        <w:jc w:val="center"/>
        <w:textAlignment w:val="auto"/>
        <w:rPr>
          <w:rFonts w:hint="default" w:ascii="Times New Roman" w:hAnsi="Times New Roman" w:eastAsia="方正仿宋_GBK" w:cs="Times New Roman"/>
          <w:color w:val="000000"/>
          <w:sz w:val="32"/>
          <w:szCs w:val="32"/>
        </w:rPr>
      </w:pPr>
      <w:r>
        <w:rPr>
          <w:rFonts w:hint="eastAsia" w:ascii="方正仿宋_GBK" w:eastAsia="方正仿宋_GBK"/>
          <w:color w:val="000000"/>
          <w:sz w:val="32"/>
          <w:szCs w:val="32"/>
        </w:rPr>
        <w:t>南岸科局发</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号</w:t>
      </w:r>
    </w:p>
    <w:p>
      <w:pPr>
        <w:keepNext w:val="0"/>
        <w:keepLines w:val="0"/>
        <w:pageBreakBefore w:val="0"/>
        <w:kinsoku/>
        <w:overflowPunct/>
        <w:topLinePunct w:val="0"/>
        <w:bidi w:val="0"/>
        <w:spacing w:line="600" w:lineRule="atLeast"/>
        <w:ind w:left="0" w:leftChars="0" w:right="0" w:rightChars="0"/>
        <w:jc w:val="both"/>
        <w:textAlignment w:val="auto"/>
        <w:rPr>
          <w:rFonts w:hint="eastAsia" w:ascii="宋体" w:hAnsi="宋体" w:eastAsia="宋体" w:cs="宋体"/>
          <w:i w:val="0"/>
          <w:caps w:val="0"/>
          <w:color w:val="auto"/>
          <w:spacing w:val="0"/>
          <w:sz w:val="44"/>
          <w:szCs w:val="44"/>
          <w:shd w:val="clear" w:fill="FFFFFF"/>
          <w:lang w:val="en-US" w:eastAsia="zh-CN"/>
        </w:rPr>
      </w:pPr>
    </w:p>
    <w:p>
      <w:pPr>
        <w:pStyle w:val="15"/>
        <w:keepNext w:val="0"/>
        <w:keepLines w:val="0"/>
        <w:pageBreakBefore w:val="0"/>
        <w:widowControl/>
        <w:kinsoku/>
        <w:wordWrap/>
        <w:overflowPunct/>
        <w:topLinePunct w:val="0"/>
        <w:autoSpaceDE/>
        <w:autoSpaceDN/>
        <w:bidi w:val="0"/>
        <w:adjustRightInd/>
        <w:snapToGrid/>
        <w:spacing w:line="600" w:lineRule="exact"/>
        <w:ind w:left="108"/>
        <w:textAlignment w:val="baseline"/>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各有关单位：</w:t>
      </w:r>
    </w:p>
    <w:p>
      <w:pPr>
        <w:pStyle w:val="15"/>
        <w:keepNext w:val="0"/>
        <w:keepLines w:val="0"/>
        <w:pageBreakBefore w:val="0"/>
        <w:widowControl/>
        <w:kinsoku/>
        <w:wordWrap/>
        <w:overflowPunct/>
        <w:topLinePunct w:val="0"/>
        <w:autoSpaceDE/>
        <w:autoSpaceDN/>
        <w:bidi w:val="0"/>
        <w:adjustRightInd/>
        <w:snapToGrid/>
        <w:spacing w:line="600" w:lineRule="exact"/>
        <w:ind w:left="108" w:firstLine="640" w:firstLineChars="20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为贯彻落实南岸区、重庆经开区《支持绿色创新若干财政金融政策》，促进科技创新支撑引领高质量发展，我们制定了《南岸区、重庆经开区科技创新政策实施细则》，经区政府、经开区管委会研究同意，现印发给你们，请遵照执行。</w:t>
      </w: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方正仿宋_GBK" w:cs="Times New Roman"/>
          <w:sz w:val="32"/>
          <w:szCs w:val="32"/>
          <w:lang w:val="en-US" w:eastAsia="zh-CN"/>
        </w:rPr>
      </w:pPr>
    </w:p>
    <w:p>
      <w:pPr>
        <w:pStyle w:val="15"/>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方正仿宋_GBK" w:cs="Times New Roman"/>
          <w:lang w:val="en-US" w:eastAsia="zh-CN"/>
        </w:rPr>
      </w:pPr>
    </w:p>
    <w:p>
      <w:pPr>
        <w:pStyle w:val="15"/>
        <w:keepNext w:val="0"/>
        <w:keepLines w:val="0"/>
        <w:pageBreakBefore w:val="0"/>
        <w:kinsoku/>
        <w:wordWrap/>
        <w:overflowPunct/>
        <w:topLinePunct w:val="0"/>
        <w:autoSpaceDE/>
        <w:autoSpaceDN/>
        <w:bidi w:val="0"/>
        <w:adjustRightInd/>
        <w:snapToGrid/>
        <w:spacing w:line="600" w:lineRule="exact"/>
        <w:ind w:firstLine="4160" w:firstLineChars="1300"/>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重庆市南岸区科学技术局</w:t>
      </w:r>
      <w:r>
        <w:rPr>
          <w:rFonts w:hint="default" w:ascii="Times New Roman" w:hAnsi="Times New Roman" w:eastAsia="方正仿宋_GBK" w:cs="Times New Roman"/>
          <w:lang w:val="en-US" w:eastAsia="zh-CN"/>
        </w:rPr>
        <w:t xml:space="preserve">       </w:t>
      </w:r>
    </w:p>
    <w:p>
      <w:pPr>
        <w:pStyle w:val="15"/>
        <w:keepNext w:val="0"/>
        <w:keepLines w:val="0"/>
        <w:pageBreakBefore w:val="0"/>
        <w:kinsoku/>
        <w:wordWrap/>
        <w:overflowPunct/>
        <w:topLinePunct w:val="0"/>
        <w:autoSpaceDE/>
        <w:autoSpaceDN/>
        <w:bidi w:val="0"/>
        <w:adjustRightInd/>
        <w:snapToGrid/>
        <w:spacing w:line="600" w:lineRule="exact"/>
        <w:ind w:firstLine="4800" w:firstLineChars="15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2022年4月25日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p>
    <w:p>
      <w:pPr>
        <w:pStyle w:val="15"/>
        <w:keepNext w:val="0"/>
        <w:keepLines w:val="0"/>
        <w:pageBreakBefore w:val="0"/>
        <w:kinsoku/>
        <w:wordWrap/>
        <w:overflowPunct/>
        <w:topLinePunct w:val="0"/>
        <w:autoSpaceDE/>
        <w:autoSpaceDN/>
        <w:bidi w:val="0"/>
        <w:adjustRightInd/>
        <w:snapToGrid/>
        <w:spacing w:line="600" w:lineRule="exact"/>
        <w:ind w:left="0" w:leftChars="0" w:firstLine="960" w:firstLineChars="300"/>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（此页无正文）</w:t>
      </w:r>
    </w:p>
    <w:p>
      <w:pPr>
        <w:spacing w:line="700" w:lineRule="exact"/>
        <w:jc w:val="center"/>
        <w:rPr>
          <w:rFonts w:hint="eastAsia" w:eastAsia="方正小标宋_GBK" w:cs="黑体"/>
          <w:color w:val="auto"/>
          <w:spacing w:val="-11"/>
          <w:w w:val="95"/>
          <w:sz w:val="44"/>
          <w:szCs w:val="44"/>
        </w:rPr>
      </w:pPr>
    </w:p>
    <w:p>
      <w:pPr>
        <w:spacing w:line="700" w:lineRule="exact"/>
        <w:jc w:val="center"/>
        <w:rPr>
          <w:rFonts w:hint="eastAsia" w:eastAsia="方正小标宋_GBK" w:cs="黑体"/>
          <w:color w:val="auto"/>
          <w:spacing w:val="-11"/>
          <w:w w:val="95"/>
          <w:sz w:val="44"/>
          <w:szCs w:val="44"/>
        </w:rPr>
      </w:pPr>
    </w:p>
    <w:p>
      <w:pPr>
        <w:spacing w:line="700" w:lineRule="exact"/>
        <w:jc w:val="center"/>
        <w:rPr>
          <w:rFonts w:hint="eastAsia" w:eastAsia="方正小标宋_GBK" w:cs="黑体"/>
          <w:color w:val="auto"/>
          <w:spacing w:val="-11"/>
          <w:w w:val="95"/>
          <w:sz w:val="44"/>
          <w:szCs w:val="44"/>
        </w:rPr>
      </w:pPr>
    </w:p>
    <w:p>
      <w:pPr>
        <w:spacing w:line="700" w:lineRule="exact"/>
        <w:jc w:val="center"/>
        <w:rPr>
          <w:rFonts w:hint="eastAsia" w:eastAsia="方正小标宋_GBK" w:cs="黑体"/>
          <w:color w:val="auto"/>
          <w:spacing w:val="-11"/>
          <w:w w:val="95"/>
          <w:sz w:val="44"/>
          <w:szCs w:val="44"/>
        </w:rPr>
      </w:pPr>
    </w:p>
    <w:p>
      <w:pPr>
        <w:spacing w:line="700" w:lineRule="exact"/>
        <w:jc w:val="center"/>
        <w:rPr>
          <w:rFonts w:hint="eastAsia" w:eastAsia="方正小标宋_GBK" w:cs="黑体"/>
          <w:color w:val="auto"/>
          <w:spacing w:val="-10"/>
          <w:w w:val="95"/>
          <w:sz w:val="44"/>
          <w:szCs w:val="44"/>
          <w:lang w:eastAsia="zh-CN"/>
        </w:rPr>
      </w:pPr>
      <w:r>
        <w:rPr>
          <w:rFonts w:hint="eastAsia" w:eastAsia="方正小标宋_GBK" w:cs="黑体"/>
          <w:color w:val="auto"/>
          <w:spacing w:val="-11"/>
          <w:w w:val="95"/>
          <w:sz w:val="44"/>
          <w:szCs w:val="44"/>
        </w:rPr>
        <w:t>南岸区、重庆经开区科技创新政策实施细则</w:t>
      </w:r>
    </w:p>
    <w:p>
      <w:pPr>
        <w:adjustRightInd w:val="0"/>
        <w:snapToGrid w:val="0"/>
        <w:spacing w:line="594" w:lineRule="exact"/>
        <w:jc w:val="center"/>
        <w:rPr>
          <w:rFonts w:hint="eastAsia" w:ascii="方正黑体_GBK" w:hAnsi="方正黑体_GBK" w:eastAsia="方正黑体_GBK" w:cs="方正黑体_GBK"/>
          <w:color w:val="auto"/>
          <w:sz w:val="32"/>
          <w:szCs w:val="32"/>
        </w:rPr>
      </w:pPr>
    </w:p>
    <w:p>
      <w:pPr>
        <w:adjustRightInd w:val="0"/>
        <w:snapToGrid w:val="0"/>
        <w:spacing w:line="594"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第一章  总  则</w:t>
      </w:r>
    </w:p>
    <w:p>
      <w:pPr>
        <w:numPr>
          <w:ilvl w:val="0"/>
          <w:numId w:val="1"/>
        </w:numPr>
        <w:adjustRightInd w:val="0"/>
        <w:snapToGrid w:val="0"/>
        <w:spacing w:line="594" w:lineRule="exact"/>
        <w:ind w:left="0" w:firstLine="640"/>
        <w:rPr>
          <w:rFonts w:hint="eastAsia" w:ascii="方正黑体_GBK" w:hAnsi="方正黑体_GBK" w:eastAsia="方正黑体_GBK" w:cs="方正黑体_GBK"/>
          <w:color w:val="auto"/>
          <w:sz w:val="32"/>
          <w:szCs w:val="32"/>
        </w:rPr>
      </w:pPr>
      <w:r>
        <w:rPr>
          <w:rFonts w:hint="eastAsia" w:ascii="方正仿宋_GBK" w:hAnsi="方正仿宋_GBK" w:eastAsia="方正仿宋_GBK" w:cs="方正仿宋_GBK"/>
          <w:color w:val="auto"/>
          <w:sz w:val="32"/>
          <w:szCs w:val="32"/>
        </w:rPr>
        <w:t>根据重庆市南岸区人民政府办公室</w:t>
      </w:r>
      <w:r>
        <w:rPr>
          <w:rFonts w:hint="eastAsia" w:ascii="方正仿宋_GBK" w:hAnsi="方正仿宋_GBK" w:eastAsia="方正仿宋_GBK" w:cs="方正仿宋_GBK"/>
          <w:color w:val="auto"/>
          <w:sz w:val="32"/>
          <w:szCs w:val="32"/>
          <w:lang w:val="en-US" w:eastAsia="zh-CN"/>
        </w:rPr>
        <w:t>重庆经济技术开发区管理委员会办公室</w:t>
      </w:r>
      <w:r>
        <w:rPr>
          <w:rFonts w:hint="eastAsia" w:ascii="方正仿宋_GBK" w:hAnsi="方正仿宋_GBK" w:eastAsia="方正仿宋_GBK" w:cs="方正仿宋_GBK"/>
          <w:color w:val="auto"/>
          <w:sz w:val="32"/>
          <w:szCs w:val="32"/>
        </w:rPr>
        <w:t>关于印发《南岸区重庆经开区支持绿色创新若干财政金融政策》（以下简称“</w:t>
      </w:r>
      <w:r>
        <w:rPr>
          <w:rFonts w:hint="eastAsia" w:ascii="方正仿宋_GBK" w:hAnsi="方正仿宋_GBK" w:eastAsia="方正仿宋_GBK" w:cs="方正仿宋_GBK"/>
          <w:color w:val="auto"/>
          <w:sz w:val="32"/>
          <w:szCs w:val="32"/>
          <w:lang w:eastAsia="zh-CN"/>
        </w:rPr>
        <w:t>财政金融政策</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为</w:t>
      </w:r>
      <w:r>
        <w:rPr>
          <w:rFonts w:hint="eastAsia" w:ascii="Times New Roman" w:hAnsi="Times New Roman" w:eastAsia="方正仿宋_GBK"/>
          <w:color w:val="auto"/>
          <w:sz w:val="32"/>
          <w:szCs w:val="32"/>
        </w:rPr>
        <w:t>促进全区科技创新高质量发展，推进政策有效实施，制定本实施细则。</w:t>
      </w:r>
    </w:p>
    <w:p>
      <w:pPr>
        <w:numPr>
          <w:ilvl w:val="0"/>
          <w:numId w:val="1"/>
        </w:numPr>
        <w:adjustRightInd w:val="0"/>
        <w:snapToGrid w:val="0"/>
        <w:spacing w:line="594" w:lineRule="exact"/>
        <w:ind w:left="0" w:firstLine="640"/>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本细则按照“财政金融政策”</w:t>
      </w:r>
      <w:r>
        <w:rPr>
          <w:rFonts w:hint="eastAsia" w:ascii="Times New Roman" w:hAnsi="Times New Roman" w:eastAsia="方正仿宋_GBK"/>
          <w:color w:val="auto"/>
          <w:sz w:val="32"/>
          <w:szCs w:val="32"/>
          <w:lang w:eastAsia="zh-CN"/>
        </w:rPr>
        <w:t>第</w:t>
      </w:r>
      <w:r>
        <w:rPr>
          <w:rFonts w:hint="eastAsia" w:ascii="Times New Roman" w:hAnsi="Times New Roman" w:eastAsia="方正仿宋_GBK"/>
          <w:color w:val="auto"/>
          <w:sz w:val="32"/>
          <w:szCs w:val="32"/>
          <w:lang w:val="en-US" w:eastAsia="zh-CN"/>
        </w:rPr>
        <w:t>23条“</w:t>
      </w:r>
      <w:r>
        <w:rPr>
          <w:rFonts w:hint="eastAsia" w:ascii="Times New Roman" w:hAnsi="Times New Roman" w:eastAsia="方正仿宋_GBK"/>
          <w:color w:val="auto"/>
          <w:sz w:val="32"/>
          <w:szCs w:val="32"/>
        </w:rPr>
        <w:t>各有关部门（单位）应建立配套的全区统一的政策实施细则、受理程序机制”原则，所称南岸区、重庆经开区科技创新政策是指“财政金融政策”内涉及科技创新相关政策</w:t>
      </w:r>
      <w:r>
        <w:rPr>
          <w:rFonts w:ascii="Times New Roman" w:hAnsi="Times New Roman" w:eastAsia="方正仿宋_GBK"/>
          <w:color w:val="auto"/>
          <w:sz w:val="32"/>
          <w:szCs w:val="32"/>
        </w:rPr>
        <w:t>（附件1）</w:t>
      </w:r>
      <w:r>
        <w:rPr>
          <w:rFonts w:hint="eastAsia" w:ascii="方正仿宋_GBK" w:hAnsi="方正仿宋_GBK" w:eastAsia="方正仿宋_GBK" w:cs="方正仿宋_GBK"/>
          <w:color w:val="auto"/>
          <w:sz w:val="32"/>
          <w:szCs w:val="32"/>
        </w:rPr>
        <w:t>。</w:t>
      </w:r>
    </w:p>
    <w:p>
      <w:pPr>
        <w:pStyle w:val="15"/>
        <w:numPr>
          <w:ilvl w:val="0"/>
          <w:numId w:val="1"/>
        </w:numPr>
        <w:spacing w:line="594" w:lineRule="exact"/>
        <w:ind w:left="0" w:firstLine="640"/>
        <w:rPr>
          <w:rFonts w:hint="eastAsia" w:cs="方正仿宋_GBK"/>
          <w:color w:val="auto"/>
        </w:rPr>
      </w:pPr>
      <w:r>
        <w:rPr>
          <w:rFonts w:hint="eastAsia" w:cs="方正仿宋_GBK"/>
          <w:color w:val="auto"/>
        </w:rPr>
        <w:t>“</w:t>
      </w:r>
      <w:r>
        <w:rPr>
          <w:rFonts w:hint="eastAsia" w:ascii="方正仿宋_GBK" w:hAnsi="方正仿宋_GBK" w:eastAsia="方正仿宋_GBK" w:cs="方正仿宋_GBK"/>
          <w:color w:val="auto"/>
          <w:sz w:val="32"/>
          <w:szCs w:val="32"/>
          <w:lang w:eastAsia="zh-CN"/>
        </w:rPr>
        <w:t>财政金融政策</w:t>
      </w:r>
      <w:r>
        <w:rPr>
          <w:rFonts w:hint="eastAsia" w:cs="方正仿宋_GBK"/>
          <w:color w:val="auto"/>
        </w:rPr>
        <w:t>”中所涉的区级科技计划项目，</w:t>
      </w:r>
      <w:r>
        <w:rPr>
          <w:rFonts w:hint="eastAsia" w:ascii="Times New Roman" w:hAnsi="Times New Roman"/>
          <w:color w:val="auto"/>
        </w:rPr>
        <w:t>执行《南岸区科研项目管理办法》规定，单独制定申报通知（指南）。</w:t>
      </w:r>
    </w:p>
    <w:p>
      <w:pPr>
        <w:adjustRightInd w:val="0"/>
        <w:snapToGrid w:val="0"/>
        <w:spacing w:line="594" w:lineRule="exact"/>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第二章  补助程序和条件</w:t>
      </w:r>
    </w:p>
    <w:p>
      <w:pPr>
        <w:numPr>
          <w:ilvl w:val="0"/>
          <w:numId w:val="1"/>
        </w:numPr>
        <w:adjustRightInd w:val="0"/>
        <w:snapToGrid w:val="0"/>
        <w:spacing w:line="594" w:lineRule="exact"/>
        <w:ind w:left="0" w:firstLine="640"/>
        <w:rPr>
          <w:rFonts w:hint="eastAsia" w:ascii="方正楷体_GBK" w:hAnsi="方正楷体_GBK" w:eastAsia="方正楷体_GBK" w:cs="方正楷体_GBK"/>
          <w:color w:val="auto"/>
          <w:sz w:val="32"/>
          <w:szCs w:val="32"/>
        </w:rPr>
      </w:pPr>
      <w:r>
        <w:rPr>
          <w:rFonts w:hint="eastAsia" w:ascii="Times New Roman" w:hAnsi="Times New Roman" w:eastAsia="方正仿宋_GBK"/>
          <w:color w:val="auto"/>
          <w:sz w:val="32"/>
          <w:szCs w:val="32"/>
        </w:rPr>
        <w:t xml:space="preserve"> 补助程序</w:t>
      </w:r>
    </w:p>
    <w:p>
      <w:pPr>
        <w:adjustRightInd w:val="0"/>
        <w:snapToGrid w:val="0"/>
        <w:spacing w:line="594" w:lineRule="exact"/>
        <w:ind w:firstLine="640"/>
        <w:rPr>
          <w:rFonts w:hint="eastAsia" w:ascii="Times New Roman" w:hAnsi="Times New Roman" w:eastAsia="方正仿宋_GBK"/>
          <w:color w:val="auto"/>
          <w:sz w:val="32"/>
          <w:szCs w:val="32"/>
        </w:rPr>
      </w:pPr>
      <w:r>
        <w:rPr>
          <w:rFonts w:hint="eastAsia" w:ascii="方正楷体_GBK" w:hAnsi="方正楷体_GBK" w:eastAsia="方正楷体_GBK" w:cs="方正楷体_GBK"/>
          <w:color w:val="auto"/>
          <w:sz w:val="32"/>
          <w:szCs w:val="32"/>
        </w:rPr>
        <w:t>（一）发布申报通知。</w:t>
      </w:r>
      <w:r>
        <w:rPr>
          <w:rFonts w:hint="eastAsia" w:ascii="Times New Roman" w:hAnsi="Times New Roman" w:eastAsia="方正仿宋_GBK"/>
          <w:color w:val="auto"/>
          <w:sz w:val="32"/>
          <w:szCs w:val="32"/>
        </w:rPr>
        <w:t>区科技局、</w:t>
      </w:r>
      <w:r>
        <w:rPr>
          <w:rFonts w:hint="eastAsia" w:ascii="Times New Roman" w:hAnsi="Times New Roman" w:eastAsia="方正仿宋_GBK"/>
          <w:b w:val="0"/>
          <w:bCs w:val="0"/>
          <w:color w:val="auto"/>
          <w:sz w:val="32"/>
          <w:szCs w:val="32"/>
          <w:lang w:eastAsia="zh-CN"/>
        </w:rPr>
        <w:t>经开区</w:t>
      </w:r>
      <w:r>
        <w:rPr>
          <w:rFonts w:hint="eastAsia" w:ascii="Times New Roman" w:hAnsi="Times New Roman" w:eastAsia="方正仿宋_GBK"/>
          <w:color w:val="auto"/>
          <w:sz w:val="32"/>
          <w:szCs w:val="32"/>
          <w:lang w:eastAsia="zh-CN"/>
        </w:rPr>
        <w:t>创新创业服务中心</w:t>
      </w:r>
      <w:r>
        <w:rPr>
          <w:rFonts w:hint="eastAsia" w:ascii="Times New Roman" w:hAnsi="Times New Roman" w:eastAsia="方正仿宋_GBK"/>
          <w:color w:val="auto"/>
          <w:sz w:val="32"/>
          <w:szCs w:val="32"/>
        </w:rPr>
        <w:t>统一发布科技创新政策年度申报通知。</w:t>
      </w:r>
    </w:p>
    <w:p>
      <w:pPr>
        <w:adjustRightInd w:val="0"/>
        <w:snapToGrid w:val="0"/>
        <w:spacing w:line="594" w:lineRule="exact"/>
        <w:ind w:firstLine="640"/>
        <w:rPr>
          <w:rFonts w:hint="eastAsia" w:ascii="Times New Roman" w:hAnsi="Times New Roman" w:eastAsia="方正仿宋_GBK"/>
          <w:color w:val="auto"/>
          <w:sz w:val="32"/>
          <w:szCs w:val="32"/>
        </w:rPr>
      </w:pPr>
      <w:r>
        <w:rPr>
          <w:rFonts w:hint="eastAsia" w:ascii="方正楷体_GBK" w:hAnsi="方正楷体_GBK" w:eastAsia="方正楷体_GBK" w:cs="方正楷体_GBK"/>
          <w:color w:val="auto"/>
          <w:sz w:val="32"/>
          <w:szCs w:val="32"/>
        </w:rPr>
        <w:t>（二）资料提交。</w:t>
      </w:r>
      <w:r>
        <w:rPr>
          <w:rFonts w:hint="eastAsia" w:ascii="Times New Roman" w:hAnsi="Times New Roman" w:eastAsia="方正仿宋_GBK"/>
          <w:color w:val="auto"/>
          <w:sz w:val="32"/>
          <w:szCs w:val="32"/>
        </w:rPr>
        <w:t>各申报单位</w:t>
      </w:r>
      <w:r>
        <w:rPr>
          <w:rFonts w:ascii="Times New Roman" w:hAnsi="Times New Roman" w:eastAsia="方正仿宋_GBK"/>
          <w:color w:val="auto"/>
          <w:sz w:val="32"/>
          <w:szCs w:val="32"/>
        </w:rPr>
        <w:t>按照年度申报通知要求准备申报材料</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并在规定时间内</w:t>
      </w:r>
      <w:r>
        <w:rPr>
          <w:rFonts w:hint="eastAsia" w:ascii="Times New Roman" w:hAnsi="Times New Roman" w:eastAsia="方正仿宋_GBK"/>
          <w:color w:val="auto"/>
          <w:sz w:val="32"/>
          <w:szCs w:val="32"/>
        </w:rPr>
        <w:t>按纳税所在地分别</w:t>
      </w:r>
      <w:r>
        <w:rPr>
          <w:rFonts w:ascii="Times New Roman" w:hAnsi="Times New Roman" w:eastAsia="方正仿宋_GBK"/>
          <w:color w:val="auto"/>
          <w:sz w:val="32"/>
          <w:szCs w:val="32"/>
        </w:rPr>
        <w:t>报送到</w:t>
      </w:r>
      <w:r>
        <w:rPr>
          <w:rFonts w:hint="eastAsia" w:ascii="Times New Roman" w:hAnsi="Times New Roman" w:eastAsia="方正仿宋_GBK"/>
          <w:color w:val="auto"/>
          <w:sz w:val="32"/>
          <w:szCs w:val="32"/>
        </w:rPr>
        <w:t>区科技局、</w:t>
      </w:r>
      <w:r>
        <w:rPr>
          <w:rFonts w:hint="eastAsia" w:ascii="Times New Roman" w:hAnsi="Times New Roman" w:eastAsia="方正仿宋_GBK"/>
          <w:b w:val="0"/>
          <w:bCs w:val="0"/>
          <w:color w:val="auto"/>
          <w:sz w:val="32"/>
          <w:szCs w:val="32"/>
          <w:lang w:eastAsia="zh-CN"/>
        </w:rPr>
        <w:t>经开区</w:t>
      </w:r>
      <w:r>
        <w:rPr>
          <w:rFonts w:hint="eastAsia" w:ascii="Times New Roman" w:hAnsi="Times New Roman" w:eastAsia="方正仿宋_GBK"/>
          <w:color w:val="auto"/>
          <w:sz w:val="32"/>
          <w:szCs w:val="32"/>
          <w:lang w:eastAsia="zh-CN"/>
        </w:rPr>
        <w:t>创新创业服务中心</w:t>
      </w:r>
      <w:r>
        <w:rPr>
          <w:rFonts w:hint="eastAsia" w:ascii="Times New Roman" w:hAnsi="Times New Roman" w:eastAsia="方正仿宋_GBK"/>
          <w:color w:val="auto"/>
          <w:sz w:val="32"/>
          <w:szCs w:val="32"/>
        </w:rPr>
        <w:t>。</w:t>
      </w:r>
    </w:p>
    <w:p>
      <w:pPr>
        <w:adjustRightInd w:val="0"/>
        <w:snapToGrid w:val="0"/>
        <w:spacing w:line="594" w:lineRule="exact"/>
        <w:ind w:firstLine="640"/>
        <w:rPr>
          <w:rFonts w:hint="eastAsia" w:ascii="Times New Roman" w:hAnsi="Times New Roman" w:eastAsia="方正仿宋_GBK"/>
          <w:color w:val="auto"/>
          <w:sz w:val="32"/>
          <w:szCs w:val="32"/>
        </w:rPr>
      </w:pPr>
      <w:r>
        <w:rPr>
          <w:rFonts w:hint="eastAsia" w:ascii="方正楷体_GBK" w:hAnsi="方正楷体_GBK" w:eastAsia="方正楷体_GBK" w:cs="方正楷体_GBK"/>
          <w:color w:val="auto"/>
          <w:sz w:val="32"/>
          <w:szCs w:val="32"/>
        </w:rPr>
        <w:t>（三）初审。</w:t>
      </w:r>
      <w:r>
        <w:rPr>
          <w:rFonts w:ascii="Times New Roman" w:hAnsi="Times New Roman" w:eastAsia="方正仿宋_GBK"/>
          <w:color w:val="auto"/>
          <w:sz w:val="32"/>
          <w:szCs w:val="32"/>
        </w:rPr>
        <w:t>申报受理截止后，</w:t>
      </w:r>
      <w:r>
        <w:rPr>
          <w:rFonts w:hint="eastAsia" w:ascii="Times New Roman" w:hAnsi="Times New Roman" w:eastAsia="方正仿宋_GBK"/>
          <w:color w:val="auto"/>
          <w:sz w:val="32"/>
          <w:szCs w:val="32"/>
        </w:rPr>
        <w:t>区科技局、</w:t>
      </w:r>
      <w:r>
        <w:rPr>
          <w:rFonts w:hint="eastAsia" w:ascii="Times New Roman" w:hAnsi="Times New Roman" w:eastAsia="方正仿宋_GBK"/>
          <w:b w:val="0"/>
          <w:bCs w:val="0"/>
          <w:color w:val="auto"/>
          <w:sz w:val="32"/>
          <w:szCs w:val="32"/>
          <w:lang w:eastAsia="zh-CN"/>
        </w:rPr>
        <w:t>经开区</w:t>
      </w:r>
      <w:r>
        <w:rPr>
          <w:rFonts w:hint="eastAsia" w:ascii="Times New Roman" w:hAnsi="Times New Roman" w:eastAsia="方正仿宋_GBK"/>
          <w:color w:val="auto"/>
          <w:sz w:val="32"/>
          <w:szCs w:val="32"/>
          <w:lang w:eastAsia="zh-CN"/>
        </w:rPr>
        <w:t>创新创业服务中心</w:t>
      </w:r>
      <w:r>
        <w:rPr>
          <w:rFonts w:hint="eastAsia" w:ascii="Times New Roman" w:hAnsi="Times New Roman" w:eastAsia="方正仿宋_GBK"/>
          <w:color w:val="auto"/>
          <w:sz w:val="32"/>
          <w:szCs w:val="32"/>
        </w:rPr>
        <w:t>会同财政、税务、统计等部门对申报单位是</w:t>
      </w:r>
      <w:r>
        <w:rPr>
          <w:rFonts w:hint="eastAsia" w:ascii="Times New Roman" w:hAnsi="Times New Roman" w:eastAsia="方正仿宋_GBK"/>
          <w:color w:val="auto"/>
          <w:sz w:val="32"/>
          <w:szCs w:val="32"/>
          <w:highlight w:val="none"/>
        </w:rPr>
        <w:t>否</w:t>
      </w:r>
      <w:r>
        <w:rPr>
          <w:rFonts w:hint="eastAsia" w:ascii="Times New Roman" w:hAnsi="Times New Roman" w:eastAsia="方正仿宋_GBK"/>
          <w:color w:val="auto"/>
          <w:sz w:val="32"/>
          <w:szCs w:val="32"/>
          <w:highlight w:val="none"/>
          <w:lang w:eastAsia="zh-CN"/>
        </w:rPr>
        <w:t>存在</w:t>
      </w:r>
      <w:r>
        <w:rPr>
          <w:rFonts w:hint="eastAsia" w:ascii="Times New Roman" w:hAnsi="Times New Roman" w:eastAsia="方正仿宋_GBK"/>
          <w:color w:val="auto"/>
          <w:sz w:val="32"/>
          <w:szCs w:val="32"/>
          <w:highlight w:val="none"/>
        </w:rPr>
        <w:t>重复享受</w:t>
      </w:r>
      <w:r>
        <w:rPr>
          <w:rFonts w:hint="eastAsia" w:ascii="Times New Roman" w:hAnsi="Times New Roman" w:eastAsia="方正仿宋_GBK"/>
          <w:color w:val="auto"/>
          <w:sz w:val="32"/>
          <w:szCs w:val="32"/>
          <w:highlight w:val="none"/>
          <w:u w:val="none"/>
          <w:lang w:eastAsia="zh-CN"/>
        </w:rPr>
        <w:t>同类型产业扶持</w:t>
      </w:r>
      <w:r>
        <w:rPr>
          <w:rFonts w:hint="eastAsia" w:ascii="Times New Roman" w:hAnsi="Times New Roman" w:eastAsia="方正仿宋_GBK"/>
          <w:color w:val="auto"/>
          <w:sz w:val="32"/>
          <w:szCs w:val="32"/>
          <w:highlight w:val="none"/>
        </w:rPr>
        <w:t>政策</w:t>
      </w:r>
      <w:r>
        <w:rPr>
          <w:rFonts w:hint="eastAsia" w:ascii="Times New Roman" w:hAnsi="Times New Roman" w:eastAsia="方正仿宋_GBK"/>
          <w:color w:val="auto"/>
          <w:sz w:val="32"/>
          <w:szCs w:val="32"/>
        </w:rPr>
        <w:t>、企业研发费用加计扣除备案、</w:t>
      </w:r>
      <w:r>
        <w:rPr>
          <w:rFonts w:hint="eastAsia" w:ascii="Times New Roman" w:hAnsi="Times New Roman" w:eastAsia="方正仿宋_GBK"/>
          <w:color w:val="auto"/>
          <w:sz w:val="32"/>
          <w:szCs w:val="32"/>
          <w:u w:val="none"/>
          <w:lang w:eastAsia="zh-CN"/>
        </w:rPr>
        <w:t>是否</w:t>
      </w:r>
      <w:r>
        <w:rPr>
          <w:rFonts w:hint="eastAsia" w:ascii="Times New Roman" w:hAnsi="Times New Roman" w:eastAsia="方正仿宋_GBK"/>
          <w:color w:val="auto"/>
          <w:sz w:val="32"/>
          <w:szCs w:val="32"/>
          <w:highlight w:val="none"/>
          <w:lang w:val="zh-CN"/>
        </w:rPr>
        <w:t>依法依规报统</w:t>
      </w:r>
      <w:r>
        <w:rPr>
          <w:rFonts w:hint="eastAsia" w:ascii="Times New Roman" w:hAnsi="Times New Roman" w:eastAsia="方正仿宋_GBK"/>
          <w:color w:val="auto"/>
          <w:sz w:val="32"/>
          <w:szCs w:val="32"/>
          <w:lang w:val="zh-CN"/>
        </w:rPr>
        <w:t>等情况</w:t>
      </w:r>
      <w:r>
        <w:rPr>
          <w:rFonts w:hint="eastAsia" w:ascii="Times New Roman" w:hAnsi="Times New Roman" w:eastAsia="方正仿宋_GBK"/>
          <w:color w:val="auto"/>
          <w:sz w:val="32"/>
          <w:szCs w:val="32"/>
        </w:rPr>
        <w:t>进行审核。</w:t>
      </w:r>
    </w:p>
    <w:p>
      <w:pPr>
        <w:adjustRightInd w:val="0"/>
        <w:snapToGrid w:val="0"/>
        <w:spacing w:line="594" w:lineRule="exact"/>
        <w:ind w:firstLine="640"/>
        <w:rPr>
          <w:rFonts w:hint="eastAsia" w:ascii="Times New Roman" w:hAnsi="Times New Roman" w:eastAsia="方正仿宋_GBK"/>
          <w:color w:val="auto"/>
          <w:sz w:val="32"/>
          <w:szCs w:val="32"/>
        </w:rPr>
      </w:pPr>
      <w:r>
        <w:rPr>
          <w:rFonts w:hint="eastAsia" w:ascii="方正楷体_GBK" w:hAnsi="方正楷体_GBK" w:eastAsia="方正楷体_GBK" w:cs="方正楷体_GBK"/>
          <w:color w:val="auto"/>
          <w:sz w:val="32"/>
          <w:szCs w:val="32"/>
        </w:rPr>
        <w:t>（四）会审。</w:t>
      </w:r>
      <w:r>
        <w:rPr>
          <w:rFonts w:hint="eastAsia" w:ascii="Times New Roman" w:hAnsi="Times New Roman" w:eastAsia="方正仿宋_GBK"/>
          <w:color w:val="auto"/>
          <w:sz w:val="32"/>
          <w:szCs w:val="32"/>
        </w:rPr>
        <w:t>区科技局、</w:t>
      </w:r>
      <w:r>
        <w:rPr>
          <w:rFonts w:hint="eastAsia" w:ascii="Times New Roman" w:hAnsi="Times New Roman" w:eastAsia="方正仿宋_GBK"/>
          <w:b w:val="0"/>
          <w:bCs w:val="0"/>
          <w:color w:val="auto"/>
          <w:sz w:val="32"/>
          <w:szCs w:val="32"/>
          <w:lang w:eastAsia="zh-CN"/>
        </w:rPr>
        <w:t>经开区</w:t>
      </w:r>
      <w:r>
        <w:rPr>
          <w:rFonts w:hint="eastAsia" w:ascii="Times New Roman" w:hAnsi="Times New Roman" w:eastAsia="方正仿宋_GBK"/>
          <w:color w:val="auto"/>
          <w:sz w:val="32"/>
          <w:szCs w:val="32"/>
          <w:lang w:eastAsia="zh-CN"/>
        </w:rPr>
        <w:t>创新创业服务中心</w:t>
      </w:r>
      <w:r>
        <w:rPr>
          <w:rFonts w:hint="eastAsia" w:ascii="Times New Roman" w:hAnsi="Times New Roman" w:eastAsia="方正仿宋_GBK"/>
          <w:color w:val="auto"/>
          <w:sz w:val="32"/>
          <w:szCs w:val="32"/>
        </w:rPr>
        <w:t>会同环保、</w:t>
      </w:r>
      <w:r>
        <w:rPr>
          <w:rFonts w:hint="eastAsia" w:ascii="Times New Roman" w:hAnsi="Times New Roman" w:eastAsia="方正仿宋_GBK"/>
          <w:color w:val="auto"/>
          <w:sz w:val="32"/>
          <w:szCs w:val="32"/>
          <w:lang w:eastAsia="zh-CN"/>
        </w:rPr>
        <w:t>应急管理</w:t>
      </w:r>
      <w:r>
        <w:rPr>
          <w:rFonts w:hint="eastAsia" w:ascii="Times New Roman" w:hAnsi="Times New Roman" w:eastAsia="方正仿宋_GBK"/>
          <w:color w:val="auto"/>
          <w:sz w:val="32"/>
          <w:szCs w:val="32"/>
        </w:rPr>
        <w:t>、发展改革、</w:t>
      </w:r>
      <w:r>
        <w:rPr>
          <w:rFonts w:hint="eastAsia" w:ascii="Times New Roman" w:hAnsi="Times New Roman" w:eastAsia="方正仿宋_GBK"/>
          <w:color w:val="auto"/>
          <w:sz w:val="32"/>
          <w:szCs w:val="32"/>
          <w:lang w:eastAsia="zh-CN"/>
        </w:rPr>
        <w:t>税务</w:t>
      </w:r>
      <w:r>
        <w:rPr>
          <w:rFonts w:hint="eastAsia" w:ascii="Times New Roman" w:hAnsi="Times New Roman" w:eastAsia="方正仿宋_GBK"/>
          <w:color w:val="auto"/>
          <w:sz w:val="32"/>
          <w:szCs w:val="32"/>
        </w:rPr>
        <w:t>等部门核查申报</w:t>
      </w:r>
      <w:r>
        <w:rPr>
          <w:rFonts w:ascii="Times New Roman" w:hAnsi="Times New Roman" w:eastAsia="方正仿宋_GBK"/>
          <w:color w:val="auto"/>
          <w:sz w:val="32"/>
          <w:szCs w:val="32"/>
        </w:rPr>
        <w:t>单位</w:t>
      </w:r>
      <w:r>
        <w:rPr>
          <w:rFonts w:hint="eastAsia" w:ascii="Times New Roman" w:hAnsi="Times New Roman" w:eastAsia="方正仿宋_GBK"/>
          <w:color w:val="auto"/>
          <w:sz w:val="32"/>
          <w:szCs w:val="32"/>
        </w:rPr>
        <w:t>是否存在重大</w:t>
      </w:r>
      <w:r>
        <w:rPr>
          <w:rFonts w:hint="eastAsia" w:ascii="Times New Roman" w:hAnsi="Times New Roman" w:eastAsia="方正仿宋_GBK"/>
          <w:color w:val="auto"/>
          <w:sz w:val="32"/>
          <w:szCs w:val="32"/>
          <w:lang w:eastAsia="zh-CN"/>
        </w:rPr>
        <w:t>环境和安全</w:t>
      </w:r>
      <w:r>
        <w:rPr>
          <w:rFonts w:hint="eastAsia" w:ascii="Times New Roman" w:hAnsi="Times New Roman" w:eastAsia="方正仿宋_GBK"/>
          <w:color w:val="auto"/>
          <w:sz w:val="32"/>
          <w:szCs w:val="32"/>
        </w:rPr>
        <w:t>违法</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严重失信</w:t>
      </w:r>
      <w:r>
        <w:rPr>
          <w:rFonts w:hint="eastAsia" w:ascii="Times New Roman" w:hAnsi="Times New Roman" w:eastAsia="方正仿宋_GBK"/>
          <w:color w:val="auto"/>
          <w:sz w:val="32"/>
          <w:szCs w:val="32"/>
          <w:lang w:eastAsia="zh-CN"/>
        </w:rPr>
        <w:t>和偷税漏税</w:t>
      </w:r>
      <w:r>
        <w:rPr>
          <w:rFonts w:hint="eastAsia" w:ascii="Times New Roman" w:hAnsi="Times New Roman" w:eastAsia="方正仿宋_GBK"/>
          <w:color w:val="auto"/>
          <w:sz w:val="32"/>
          <w:szCs w:val="32"/>
        </w:rPr>
        <w:t>行为。</w:t>
      </w:r>
    </w:p>
    <w:p>
      <w:pPr>
        <w:pStyle w:val="15"/>
        <w:spacing w:line="594" w:lineRule="exact"/>
        <w:ind w:left="0"/>
        <w:rPr>
          <w:rFonts w:ascii="Times New Roman" w:hAnsi="Times New Roman"/>
          <w:color w:val="auto"/>
        </w:rPr>
      </w:pPr>
      <w:r>
        <w:rPr>
          <w:rFonts w:hint="eastAsia" w:ascii="Times New Roman" w:hAnsi="Times New Roman"/>
          <w:color w:val="auto"/>
          <w:lang w:val="en-US"/>
        </w:rPr>
        <w:t xml:space="preserve">   </w:t>
      </w:r>
      <w:r>
        <w:rPr>
          <w:rFonts w:hint="eastAsia" w:ascii="Times New Roman" w:hAnsi="Times New Roman"/>
          <w:color w:val="auto"/>
          <w:lang w:val="en-US" w:eastAsia="zh-CN"/>
        </w:rPr>
        <w:t xml:space="preserve"> </w:t>
      </w:r>
      <w:r>
        <w:rPr>
          <w:rFonts w:hint="eastAsia" w:ascii="方正楷体_GBK" w:hAnsi="方正楷体_GBK" w:eastAsia="方正楷体_GBK" w:cs="方正楷体_GBK"/>
          <w:color w:val="auto"/>
          <w:lang w:val="en-US" w:bidi="ar-SA"/>
        </w:rPr>
        <w:t>（五）网上公示。</w:t>
      </w:r>
      <w:r>
        <w:rPr>
          <w:rFonts w:hint="eastAsia" w:ascii="Times New Roman" w:hAnsi="Times New Roman"/>
          <w:color w:val="auto"/>
        </w:rPr>
        <w:t>区科技局、</w:t>
      </w:r>
      <w:r>
        <w:rPr>
          <w:rFonts w:hint="eastAsia" w:ascii="Times New Roman" w:hAnsi="Times New Roman"/>
          <w:color w:val="auto"/>
          <w:highlight w:val="none"/>
        </w:rPr>
        <w:t>经开区改革发展科技局</w:t>
      </w:r>
      <w:r>
        <w:rPr>
          <w:rFonts w:ascii="Times New Roman" w:hAnsi="Times New Roman"/>
          <w:color w:val="auto"/>
        </w:rPr>
        <w:t>对经审定的拟补助计划按程序</w:t>
      </w:r>
      <w:r>
        <w:rPr>
          <w:rFonts w:hint="eastAsia" w:ascii="Times New Roman" w:hAnsi="Times New Roman"/>
          <w:color w:val="auto"/>
          <w:lang w:eastAsia="zh-CN"/>
        </w:rPr>
        <w:t>在重庆市南岸区人民政府官网、重庆经济技术开发区官网</w:t>
      </w:r>
      <w:r>
        <w:rPr>
          <w:rFonts w:ascii="Times New Roman" w:hAnsi="Times New Roman"/>
          <w:color w:val="auto"/>
        </w:rPr>
        <w:t>向全社会进行公示。</w:t>
      </w:r>
      <w:r>
        <w:rPr>
          <w:rFonts w:ascii="Times New Roman" w:hAnsi="Times New Roman"/>
          <w:color w:val="auto"/>
          <w:spacing w:val="-4"/>
        </w:rPr>
        <w:t>对公示有异议的项目，由</w:t>
      </w:r>
      <w:r>
        <w:rPr>
          <w:rFonts w:hint="eastAsia" w:ascii="Times New Roman" w:hAnsi="Times New Roman"/>
          <w:color w:val="auto"/>
        </w:rPr>
        <w:t>区科技局、经开区改革发展科技局</w:t>
      </w:r>
      <w:r>
        <w:rPr>
          <w:rFonts w:ascii="Times New Roman" w:hAnsi="Times New Roman"/>
          <w:color w:val="auto"/>
        </w:rPr>
        <w:t>牵头启动核查程序，并按相关规定处理。</w:t>
      </w:r>
    </w:p>
    <w:p>
      <w:pPr>
        <w:adjustRightInd w:val="0"/>
        <w:snapToGrid w:val="0"/>
        <w:spacing w:line="594" w:lineRule="exact"/>
        <w:ind w:firstLine="640"/>
        <w:rPr>
          <w:rFonts w:ascii="Times New Roman" w:hAnsi="Times New Roman" w:eastAsia="方正仿宋_GBK"/>
          <w:color w:val="auto"/>
          <w:sz w:val="32"/>
          <w:szCs w:val="32"/>
          <w:highlight w:val="none"/>
          <w:lang w:val="zh-CN" w:bidi="zh-CN"/>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六</w:t>
      </w:r>
      <w:r>
        <w:rPr>
          <w:rFonts w:hint="eastAsia" w:ascii="方正楷体_GBK" w:hAnsi="方正楷体_GBK" w:eastAsia="方正楷体_GBK" w:cs="方正楷体_GBK"/>
          <w:color w:val="auto"/>
          <w:sz w:val="32"/>
          <w:szCs w:val="32"/>
        </w:rPr>
        <w:t>）提请审议。</w:t>
      </w:r>
      <w:r>
        <w:rPr>
          <w:rFonts w:ascii="Times New Roman" w:hAnsi="Times New Roman" w:eastAsia="方正仿宋_GBK"/>
          <w:color w:val="auto"/>
          <w:sz w:val="32"/>
          <w:szCs w:val="32"/>
        </w:rPr>
        <w:t>对</w:t>
      </w:r>
      <w:r>
        <w:rPr>
          <w:rFonts w:ascii="Times New Roman" w:hAnsi="Times New Roman" w:eastAsia="方正仿宋_GBK"/>
          <w:color w:val="auto"/>
          <w:spacing w:val="-4"/>
          <w:sz w:val="32"/>
          <w:szCs w:val="32"/>
        </w:rPr>
        <w:t>公示无</w:t>
      </w:r>
      <w:r>
        <w:rPr>
          <w:rFonts w:ascii="Times New Roman" w:hAnsi="Times New Roman" w:eastAsia="方正仿宋_GBK"/>
          <w:color w:val="auto"/>
          <w:sz w:val="32"/>
          <w:szCs w:val="32"/>
          <w:lang w:val="zh-CN" w:bidi="zh-CN"/>
        </w:rPr>
        <w:t>异议的项目，</w:t>
      </w:r>
      <w:r>
        <w:rPr>
          <w:rFonts w:hint="eastAsia" w:ascii="Times New Roman" w:hAnsi="Times New Roman" w:eastAsia="方正仿宋_GBK"/>
          <w:color w:val="auto"/>
          <w:sz w:val="32"/>
          <w:szCs w:val="32"/>
          <w:lang w:val="zh-CN" w:bidi="zh-CN"/>
        </w:rPr>
        <w:t>区科技局、</w:t>
      </w:r>
      <w:r>
        <w:rPr>
          <w:rFonts w:hint="eastAsia" w:ascii="Times New Roman" w:hAnsi="Times New Roman" w:eastAsia="方正仿宋_GBK"/>
          <w:color w:val="auto"/>
          <w:sz w:val="32"/>
          <w:szCs w:val="32"/>
          <w:highlight w:val="none"/>
          <w:lang w:val="zh-CN" w:bidi="zh-CN"/>
        </w:rPr>
        <w:t>经开区改革发展科技局按各自程序提请审议</w:t>
      </w:r>
      <w:r>
        <w:rPr>
          <w:rFonts w:ascii="Times New Roman" w:hAnsi="Times New Roman" w:eastAsia="方正仿宋_GBK"/>
          <w:color w:val="auto"/>
          <w:sz w:val="32"/>
          <w:szCs w:val="32"/>
          <w:highlight w:val="none"/>
          <w:lang w:val="zh-CN" w:bidi="zh-CN"/>
        </w:rPr>
        <w:t>。</w:t>
      </w:r>
    </w:p>
    <w:p>
      <w:pPr>
        <w:adjustRightInd w:val="0"/>
        <w:snapToGrid w:val="0"/>
        <w:spacing w:line="594" w:lineRule="exact"/>
        <w:ind w:firstLine="640"/>
        <w:rPr>
          <w:color w:val="auto"/>
        </w:rPr>
      </w:pPr>
      <w:r>
        <w:rPr>
          <w:rFonts w:hint="eastAsia" w:ascii="方正楷体_GBK" w:hAnsi="方正楷体_GBK" w:eastAsia="方正楷体_GBK" w:cs="方正楷体_GBK"/>
          <w:color w:val="auto"/>
          <w:sz w:val="32"/>
          <w:szCs w:val="32"/>
          <w:lang w:val="zh-CN"/>
        </w:rPr>
        <w:t>（七）确定补助计划</w:t>
      </w:r>
      <w:r>
        <w:rPr>
          <w:rFonts w:hint="eastAsia" w:ascii="Times New Roman" w:hAnsi="Times New Roman" w:eastAsia="方正仿宋_GBK"/>
          <w:color w:val="auto"/>
          <w:sz w:val="32"/>
          <w:szCs w:val="32"/>
          <w:lang w:val="zh-CN" w:bidi="zh-CN"/>
        </w:rPr>
        <w:t>。区科技局、</w:t>
      </w:r>
      <w:r>
        <w:rPr>
          <w:rFonts w:hint="eastAsia" w:ascii="Times New Roman" w:hAnsi="Times New Roman" w:eastAsia="方正仿宋_GBK"/>
          <w:color w:val="auto"/>
          <w:sz w:val="32"/>
          <w:szCs w:val="32"/>
          <w:highlight w:val="none"/>
          <w:lang w:val="zh-CN" w:bidi="zh-CN"/>
        </w:rPr>
        <w:t>经开区改革发展科技局</w:t>
      </w:r>
      <w:r>
        <w:rPr>
          <w:rFonts w:hint="eastAsia" w:ascii="Times New Roman" w:hAnsi="Times New Roman" w:eastAsia="方正仿宋_GBK"/>
          <w:color w:val="auto"/>
          <w:sz w:val="32"/>
          <w:szCs w:val="32"/>
          <w:lang w:val="zh-CN" w:bidi="zh-CN"/>
        </w:rPr>
        <w:t>会同区财政局、经开区财务局，根据审议结果确定科技创新政策拟补助计划。</w:t>
      </w:r>
    </w:p>
    <w:p>
      <w:pPr>
        <w:pStyle w:val="16"/>
        <w:spacing w:line="594" w:lineRule="exact"/>
        <w:ind w:left="0" w:leftChars="0" w:firstLine="640"/>
        <w:rPr>
          <w:rFonts w:ascii="Times New Roman" w:hAnsi="Times New Roman" w:eastAsia="方正仿宋_GBK"/>
          <w:color w:val="auto"/>
          <w:spacing w:val="-4"/>
          <w:sz w:val="32"/>
          <w:szCs w:val="32"/>
        </w:rPr>
      </w:pPr>
      <w:r>
        <w:rPr>
          <w:rFonts w:hint="eastAsia" w:ascii="方正楷体_GBK" w:hAnsi="方正楷体_GBK" w:eastAsia="方正楷体_GBK" w:cs="方正楷体_GBK"/>
          <w:color w:val="auto"/>
          <w:sz w:val="32"/>
          <w:szCs w:val="32"/>
        </w:rPr>
        <w:t>（八）</w:t>
      </w:r>
      <w:r>
        <w:rPr>
          <w:rFonts w:ascii="方正楷体_GBK" w:hAnsi="方正楷体_GBK" w:eastAsia="方正楷体_GBK" w:cs="方正楷体_GBK"/>
          <w:color w:val="auto"/>
          <w:sz w:val="32"/>
          <w:szCs w:val="32"/>
          <w:lang w:val="zh-CN"/>
        </w:rPr>
        <w:t>资金拨付。</w:t>
      </w:r>
      <w:r>
        <w:rPr>
          <w:rFonts w:hint="eastAsia" w:ascii="Times New Roman" w:hAnsi="Times New Roman" w:eastAsia="方正仿宋_GBK"/>
          <w:color w:val="auto"/>
          <w:sz w:val="32"/>
          <w:szCs w:val="32"/>
          <w:lang w:val="zh-CN" w:bidi="zh-CN"/>
        </w:rPr>
        <w:t>区科技局、</w:t>
      </w:r>
      <w:r>
        <w:rPr>
          <w:rFonts w:hint="eastAsia" w:ascii="Times New Roman" w:hAnsi="Times New Roman" w:eastAsia="方正仿宋_GBK"/>
          <w:b w:val="0"/>
          <w:bCs w:val="0"/>
          <w:color w:val="auto"/>
          <w:sz w:val="32"/>
          <w:szCs w:val="32"/>
          <w:lang w:eastAsia="zh-CN"/>
        </w:rPr>
        <w:t>经开区</w:t>
      </w:r>
      <w:r>
        <w:rPr>
          <w:rFonts w:hint="eastAsia" w:ascii="Times New Roman" w:hAnsi="Times New Roman" w:eastAsia="方正仿宋_GBK"/>
          <w:color w:val="auto"/>
          <w:sz w:val="32"/>
          <w:szCs w:val="32"/>
          <w:lang w:eastAsia="zh-CN"/>
        </w:rPr>
        <w:t>创新创业服务中心</w:t>
      </w:r>
      <w:r>
        <w:rPr>
          <w:rFonts w:hint="eastAsia" w:ascii="Times New Roman" w:hAnsi="Times New Roman" w:eastAsia="方正仿宋_GBK"/>
          <w:color w:val="auto"/>
          <w:sz w:val="32"/>
          <w:szCs w:val="32"/>
          <w:lang w:val="zh-CN" w:bidi="zh-CN"/>
        </w:rPr>
        <w:t>收到财政转拨资金后</w:t>
      </w:r>
      <w:r>
        <w:rPr>
          <w:rFonts w:hint="eastAsia" w:ascii="Times New Roman" w:hAnsi="Times New Roman" w:eastAsia="方正仿宋_GBK"/>
          <w:color w:val="auto"/>
          <w:sz w:val="32"/>
          <w:szCs w:val="32"/>
          <w:lang w:bidi="zh-CN"/>
        </w:rPr>
        <w:t>30个工作日内拨付到相关单位</w:t>
      </w:r>
      <w:r>
        <w:rPr>
          <w:rFonts w:ascii="Times New Roman" w:hAnsi="Times New Roman" w:eastAsia="方正仿宋_GBK"/>
          <w:color w:val="auto"/>
          <w:spacing w:val="-4"/>
          <w:sz w:val="32"/>
          <w:szCs w:val="32"/>
        </w:rPr>
        <w:t>。</w:t>
      </w:r>
    </w:p>
    <w:p>
      <w:pPr>
        <w:pStyle w:val="15"/>
        <w:numPr>
          <w:ilvl w:val="0"/>
          <w:numId w:val="1"/>
        </w:numPr>
        <w:spacing w:line="594" w:lineRule="exact"/>
        <w:ind w:left="0" w:firstLine="640"/>
        <w:rPr>
          <w:rFonts w:hint="eastAsia"/>
          <w:color w:val="auto"/>
        </w:rPr>
      </w:pPr>
      <w:r>
        <w:rPr>
          <w:rFonts w:hint="eastAsia"/>
          <w:color w:val="auto"/>
          <w:lang w:val="en-US"/>
        </w:rPr>
        <w:t xml:space="preserve">申报条件 </w:t>
      </w:r>
    </w:p>
    <w:p>
      <w:pPr>
        <w:pStyle w:val="15"/>
        <w:numPr>
          <w:ilvl w:val="0"/>
          <w:numId w:val="2"/>
        </w:numPr>
        <w:spacing w:line="594" w:lineRule="exact"/>
        <w:ind w:left="0" w:firstLine="640" w:firstLineChars="200"/>
        <w:rPr>
          <w:rFonts w:hint="eastAsia" w:ascii="Times New Roman" w:hAnsi="Times New Roman" w:eastAsia="方正仿宋_GBK" w:cs="Times New Roman"/>
          <w:color w:val="auto"/>
          <w:kern w:val="2"/>
          <w:sz w:val="32"/>
          <w:szCs w:val="32"/>
          <w:lang w:val="en-US" w:eastAsia="zh-CN" w:bidi="zh-CN"/>
        </w:rPr>
      </w:pPr>
      <w:r>
        <w:rPr>
          <w:rFonts w:hint="eastAsia" w:ascii="Times New Roman" w:hAnsi="Times New Roman" w:cs="Times New Roman"/>
          <w:color w:val="auto"/>
          <w:kern w:val="2"/>
          <w:sz w:val="32"/>
          <w:szCs w:val="32"/>
          <w:lang w:val="en-US" w:eastAsia="zh-CN" w:bidi="zh-CN"/>
        </w:rPr>
        <w:t>适用对象。</w:t>
      </w:r>
      <w:r>
        <w:rPr>
          <w:rFonts w:hint="eastAsia" w:ascii="Times New Roman" w:hAnsi="Times New Roman" w:eastAsia="方正仿宋_GBK" w:cs="Times New Roman"/>
          <w:color w:val="auto"/>
          <w:kern w:val="2"/>
          <w:sz w:val="32"/>
          <w:szCs w:val="32"/>
          <w:lang w:val="en-US" w:eastAsia="zh-CN" w:bidi="zh-CN"/>
        </w:rPr>
        <w:t>在本区登记注册、依法纳税、诚信经营的企事业单位和社会组织。</w:t>
      </w:r>
    </w:p>
    <w:p>
      <w:pPr>
        <w:pStyle w:val="15"/>
        <w:numPr>
          <w:ilvl w:val="0"/>
          <w:numId w:val="2"/>
        </w:numPr>
        <w:spacing w:line="594" w:lineRule="exact"/>
        <w:ind w:left="0" w:firstLine="640" w:firstLineChars="200"/>
        <w:rPr>
          <w:rFonts w:hint="default" w:ascii="Times New Roman" w:hAnsi="Times New Roman" w:cs="Times New Roman"/>
          <w:color w:val="auto"/>
          <w:kern w:val="2"/>
          <w:sz w:val="32"/>
          <w:szCs w:val="32"/>
          <w:lang w:val="en-US" w:eastAsia="zh-CN" w:bidi="zh-CN"/>
        </w:rPr>
      </w:pPr>
      <w:r>
        <w:rPr>
          <w:rFonts w:hint="default" w:ascii="Times New Roman" w:hAnsi="Times New Roman" w:cs="Times New Roman"/>
          <w:color w:val="auto"/>
          <w:kern w:val="2"/>
          <w:sz w:val="32"/>
          <w:szCs w:val="32"/>
          <w:lang w:val="en-US" w:eastAsia="zh-CN" w:bidi="zh-CN"/>
        </w:rPr>
        <w:t>科技型企业</w:t>
      </w:r>
      <w:r>
        <w:rPr>
          <w:rFonts w:hint="eastAsia" w:ascii="Times New Roman" w:hAnsi="Times New Roman" w:cs="Times New Roman"/>
          <w:color w:val="auto"/>
          <w:kern w:val="2"/>
          <w:sz w:val="32"/>
          <w:szCs w:val="32"/>
          <w:lang w:val="en-US" w:eastAsia="zh-CN" w:bidi="zh-CN"/>
        </w:rPr>
        <w:t>应</w:t>
      </w:r>
      <w:r>
        <w:rPr>
          <w:rFonts w:hint="default" w:ascii="Times New Roman" w:hAnsi="Times New Roman" w:cs="Times New Roman"/>
          <w:color w:val="auto"/>
          <w:kern w:val="2"/>
          <w:sz w:val="32"/>
          <w:szCs w:val="32"/>
          <w:lang w:val="en-US" w:eastAsia="zh-CN" w:bidi="zh-CN"/>
        </w:rPr>
        <w:t>按</w:t>
      </w:r>
      <w:r>
        <w:rPr>
          <w:rFonts w:hint="eastAsia" w:ascii="Times New Roman" w:hAnsi="Times New Roman" w:cs="Times New Roman"/>
          <w:color w:val="auto"/>
          <w:kern w:val="2"/>
          <w:sz w:val="32"/>
          <w:szCs w:val="32"/>
          <w:lang w:val="en-US" w:eastAsia="zh-CN" w:bidi="zh-CN"/>
        </w:rPr>
        <w:t>要求更新年报，按</w:t>
      </w:r>
      <w:r>
        <w:rPr>
          <w:rFonts w:hint="default" w:ascii="Times New Roman" w:hAnsi="Times New Roman" w:cs="Times New Roman"/>
          <w:color w:val="auto"/>
          <w:kern w:val="2"/>
          <w:sz w:val="32"/>
          <w:szCs w:val="32"/>
          <w:lang w:val="en-US" w:eastAsia="zh-CN" w:bidi="zh-CN"/>
        </w:rPr>
        <w:t>税务部门要求申报研发费用所得税前加计扣除</w:t>
      </w:r>
      <w:r>
        <w:rPr>
          <w:rFonts w:hint="eastAsia" w:ascii="Times New Roman" w:hAnsi="Times New Roman" w:cs="Times New Roman"/>
          <w:color w:val="auto"/>
          <w:kern w:val="2"/>
          <w:sz w:val="32"/>
          <w:szCs w:val="32"/>
          <w:lang w:val="en-US" w:eastAsia="zh-CN" w:bidi="zh-CN"/>
        </w:rPr>
        <w:t>。</w:t>
      </w:r>
      <w:r>
        <w:rPr>
          <w:rFonts w:hint="default" w:ascii="Times New Roman" w:hAnsi="Times New Roman" w:cs="Times New Roman"/>
          <w:color w:val="auto"/>
          <w:kern w:val="2"/>
          <w:sz w:val="32"/>
          <w:szCs w:val="32"/>
          <w:lang w:val="en-US" w:eastAsia="zh-CN" w:bidi="zh-CN"/>
        </w:rPr>
        <w:t>高新技术企业</w:t>
      </w:r>
      <w:r>
        <w:rPr>
          <w:rFonts w:hint="eastAsia" w:ascii="Times New Roman" w:hAnsi="Times New Roman" w:cs="Times New Roman"/>
          <w:color w:val="auto"/>
          <w:kern w:val="2"/>
          <w:sz w:val="32"/>
          <w:szCs w:val="32"/>
          <w:lang w:val="en-US" w:eastAsia="zh-CN" w:bidi="zh-CN"/>
        </w:rPr>
        <w:t>应准确填报</w:t>
      </w:r>
      <w:r>
        <w:rPr>
          <w:rFonts w:hint="default" w:ascii="Times New Roman" w:hAnsi="Times New Roman" w:cs="Times New Roman"/>
          <w:color w:val="auto"/>
          <w:kern w:val="2"/>
          <w:sz w:val="32"/>
          <w:szCs w:val="32"/>
          <w:lang w:val="en-US" w:eastAsia="zh-CN" w:bidi="zh-CN"/>
        </w:rPr>
        <w:t>火炬统计</w:t>
      </w:r>
      <w:r>
        <w:rPr>
          <w:rFonts w:hint="eastAsia" w:ascii="Times New Roman" w:hAnsi="Times New Roman" w:cs="Times New Roman"/>
          <w:color w:val="auto"/>
          <w:kern w:val="2"/>
          <w:sz w:val="32"/>
          <w:szCs w:val="32"/>
          <w:lang w:val="en-US" w:eastAsia="zh-CN" w:bidi="zh-CN"/>
        </w:rPr>
        <w:t>，规模以上企业应按统计部门要求完成</w:t>
      </w:r>
      <w:r>
        <w:rPr>
          <w:rFonts w:hint="default" w:ascii="Times New Roman" w:hAnsi="Times New Roman" w:cs="Times New Roman"/>
          <w:color w:val="auto"/>
          <w:kern w:val="2"/>
          <w:sz w:val="32"/>
          <w:szCs w:val="32"/>
          <w:lang w:val="en-US" w:eastAsia="zh-CN" w:bidi="zh-CN"/>
        </w:rPr>
        <w:t>研究开发项目情况表（107-1）和研究开发活动及相关情况表（107-2）。</w:t>
      </w:r>
    </w:p>
    <w:p>
      <w:pPr>
        <w:pStyle w:val="15"/>
        <w:numPr>
          <w:ilvl w:val="0"/>
          <w:numId w:val="2"/>
        </w:numPr>
        <w:spacing w:line="594" w:lineRule="exact"/>
        <w:ind w:left="0" w:firstLine="640" w:firstLineChars="200"/>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rPr>
        <w:t>申报单位有研发活动</w:t>
      </w:r>
      <w:r>
        <w:rPr>
          <w:rFonts w:hint="default" w:ascii="Times New Roman" w:hAnsi="Times New Roman" w:eastAsia="方正仿宋_GBK" w:cs="Times New Roman"/>
          <w:color w:val="auto"/>
          <w:lang w:eastAsia="zh-CN"/>
        </w:rPr>
        <w:t>的</w:t>
      </w:r>
      <w:r>
        <w:rPr>
          <w:rFonts w:hint="default" w:ascii="Times New Roman" w:hAnsi="Times New Roman" w:eastAsia="方正仿宋_GBK" w:cs="Times New Roman"/>
          <w:color w:val="auto"/>
        </w:rPr>
        <w:t>，</w:t>
      </w:r>
      <w:r>
        <w:rPr>
          <w:rFonts w:hint="default" w:ascii="Times New Roman" w:hAnsi="Times New Roman" w:eastAsia="方正仿宋_GBK" w:cs="Times New Roman"/>
          <w:color w:val="auto"/>
          <w:lang w:eastAsia="zh-CN"/>
        </w:rPr>
        <w:t>应</w:t>
      </w:r>
      <w:r>
        <w:rPr>
          <w:rFonts w:hint="default" w:ascii="Times New Roman" w:hAnsi="Times New Roman" w:eastAsia="方正仿宋_GBK" w:cs="Times New Roman"/>
          <w:color w:val="auto"/>
        </w:rPr>
        <w:t>按照国家财务会计制度相关要求，对发生的研究开发费用进行了准确归集核算。</w:t>
      </w:r>
    </w:p>
    <w:p>
      <w:pPr>
        <w:pStyle w:val="15"/>
        <w:numPr>
          <w:ilvl w:val="0"/>
          <w:numId w:val="0"/>
        </w:numPr>
        <w:spacing w:line="594" w:lineRule="exact"/>
        <w:ind w:left="640" w:leftChars="0"/>
        <w:rPr>
          <w:rFonts w:hint="eastAsia" w:eastAsia="方正仿宋_GBK"/>
          <w:color w:val="auto"/>
          <w:lang w:eastAsia="zh-CN"/>
        </w:rPr>
      </w:pPr>
      <w:r>
        <w:rPr>
          <w:rFonts w:hint="eastAsia"/>
          <w:color w:val="auto"/>
          <w:lang w:eastAsia="zh-CN"/>
        </w:rPr>
        <w:t>（四）具体条款的申报条件以年度申报通知为准。</w:t>
      </w:r>
    </w:p>
    <w:p>
      <w:pPr>
        <w:pStyle w:val="15"/>
        <w:numPr>
          <w:ilvl w:val="0"/>
          <w:numId w:val="1"/>
        </w:numPr>
        <w:spacing w:line="594" w:lineRule="exact"/>
        <w:ind w:left="0" w:firstLine="640"/>
        <w:rPr>
          <w:rFonts w:hint="eastAsia"/>
          <w:color w:val="auto"/>
        </w:rPr>
      </w:pPr>
      <w:r>
        <w:rPr>
          <w:rFonts w:hint="eastAsia" w:cs="方正仿宋_GBK"/>
          <w:color w:val="auto"/>
        </w:rPr>
        <w:t>申报材料</w:t>
      </w:r>
    </w:p>
    <w:p>
      <w:pPr>
        <w:spacing w:line="594" w:lineRule="exact"/>
        <w:rPr>
          <w:rFonts w:hint="eastAsia" w:ascii="Times New Roman" w:hAnsi="Times New Roman" w:eastAsia="方正仿宋_GBK"/>
          <w:color w:val="auto"/>
          <w:kern w:val="0"/>
          <w:sz w:val="32"/>
          <w:szCs w:val="32"/>
          <w:lang w:val="zh-CN"/>
        </w:rPr>
      </w:pPr>
      <w:r>
        <w:rPr>
          <w:rFonts w:hint="eastAsia" w:cs="方正仿宋_GBK"/>
          <w:color w:val="auto"/>
          <w:sz w:val="32"/>
          <w:szCs w:val="32"/>
        </w:rPr>
        <w:t xml:space="preserve">    </w:t>
      </w:r>
      <w:r>
        <w:rPr>
          <w:rFonts w:hint="eastAsia" w:ascii="Times New Roman" w:hAnsi="Times New Roman" w:eastAsia="方正仿宋_GBK"/>
          <w:color w:val="auto"/>
          <w:kern w:val="0"/>
          <w:sz w:val="32"/>
          <w:szCs w:val="32"/>
          <w:lang w:val="zh-CN"/>
        </w:rPr>
        <w:t>（一）科技创新政策补助申请表；</w:t>
      </w:r>
    </w:p>
    <w:p>
      <w:pPr>
        <w:spacing w:line="594" w:lineRule="exact"/>
        <w:ind w:firstLine="640" w:firstLineChars="200"/>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（二）</w:t>
      </w:r>
      <w:r>
        <w:rPr>
          <w:rFonts w:ascii="Times New Roman" w:hAnsi="Times New Roman" w:eastAsia="方正仿宋_GBK"/>
          <w:color w:val="auto"/>
          <w:kern w:val="0"/>
          <w:sz w:val="32"/>
          <w:szCs w:val="32"/>
        </w:rPr>
        <w:t>真实性承诺书</w:t>
      </w:r>
      <w:r>
        <w:rPr>
          <w:rFonts w:hint="eastAsia" w:ascii="Times New Roman" w:hAnsi="Times New Roman" w:eastAsia="方正仿宋_GBK"/>
          <w:color w:val="auto"/>
          <w:kern w:val="0"/>
          <w:sz w:val="32"/>
          <w:szCs w:val="32"/>
        </w:rPr>
        <w:t>；</w:t>
      </w:r>
    </w:p>
    <w:p>
      <w:pPr>
        <w:spacing w:line="594" w:lineRule="exact"/>
        <w:ind w:firstLine="640" w:firstLineChars="200"/>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（三）其他申报材料（以年度申报通知为准）。</w:t>
      </w:r>
    </w:p>
    <w:p>
      <w:pPr>
        <w:adjustRightInd w:val="0"/>
        <w:snapToGrid w:val="0"/>
        <w:spacing w:line="594" w:lineRule="exact"/>
        <w:jc w:val="center"/>
        <w:rPr>
          <w:rFonts w:hint="eastAsia" w:ascii="方正黑体_GBK" w:hAnsi="方正黑体_GBK" w:eastAsia="方正黑体_GBK" w:cs="方正黑体_GBK"/>
          <w:color w:val="auto"/>
          <w:sz w:val="32"/>
        </w:rPr>
      </w:pPr>
      <w:r>
        <w:rPr>
          <w:rFonts w:hint="eastAsia" w:ascii="方正黑体_GBK" w:hAnsi="方正黑体_GBK" w:eastAsia="方正黑体_GBK" w:cs="方正黑体_GBK"/>
          <w:color w:val="auto"/>
          <w:sz w:val="32"/>
        </w:rPr>
        <w:t>第三章 监督检查</w:t>
      </w:r>
    </w:p>
    <w:p>
      <w:pPr>
        <w:pStyle w:val="15"/>
        <w:numPr>
          <w:ilvl w:val="0"/>
          <w:numId w:val="1"/>
        </w:numPr>
        <w:spacing w:line="594" w:lineRule="exact"/>
        <w:ind w:left="0" w:firstLine="640"/>
        <w:rPr>
          <w:rFonts w:hint="eastAsia"/>
          <w:color w:val="auto"/>
        </w:rPr>
      </w:pPr>
      <w:r>
        <w:rPr>
          <w:rFonts w:hint="eastAsia" w:ascii="Times New Roman" w:hAnsi="Times New Roman"/>
          <w:color w:val="auto"/>
          <w:spacing w:val="-4"/>
        </w:rPr>
        <w:t>获政策补助单位</w:t>
      </w:r>
      <w:r>
        <w:rPr>
          <w:rFonts w:ascii="Times New Roman" w:hAnsi="Times New Roman"/>
          <w:color w:val="auto"/>
          <w:spacing w:val="-4"/>
        </w:rPr>
        <w:t>对自身信用状况、研发活动及数据真实性和违约责任进行书面承诺。应加强对补助资金的使用管理和会计核算</w:t>
      </w:r>
      <w:r>
        <w:rPr>
          <w:rFonts w:hint="eastAsia" w:cs="仿宋"/>
          <w:color w:val="auto"/>
        </w:rPr>
        <w:t>、专款专用</w:t>
      </w:r>
      <w:r>
        <w:rPr>
          <w:rFonts w:ascii="Times New Roman" w:hAnsi="Times New Roman"/>
          <w:color w:val="auto"/>
          <w:spacing w:val="-4"/>
        </w:rPr>
        <w:t>，不得用于非科研项目的基本建设、生产经营、人员待遇等支出，自觉接</w:t>
      </w:r>
      <w:r>
        <w:rPr>
          <w:rFonts w:ascii="Times New Roman" w:hAnsi="Times New Roman"/>
          <w:color w:val="auto"/>
        </w:rPr>
        <w:t>受财政、审计、监察部门的监督检查，严格执行财务规章制度和会计核算办法</w:t>
      </w:r>
      <w:r>
        <w:rPr>
          <w:rFonts w:hint="eastAsia" w:ascii="Times New Roman" w:hAnsi="Times New Roman"/>
          <w:color w:val="auto"/>
        </w:rPr>
        <w:t>，</w:t>
      </w:r>
      <w:r>
        <w:rPr>
          <w:rFonts w:hint="eastAsia" w:cs="方正仿宋_GBK"/>
          <w:color w:val="auto"/>
        </w:rPr>
        <w:t>政策</w:t>
      </w:r>
      <w:r>
        <w:rPr>
          <w:rFonts w:cs="仿宋"/>
          <w:color w:val="auto"/>
        </w:rPr>
        <w:t>补助资金用于</w:t>
      </w:r>
      <w:r>
        <w:rPr>
          <w:rFonts w:hint="eastAsia" w:cs="仿宋"/>
          <w:color w:val="auto"/>
        </w:rPr>
        <w:t>政策支持对象</w:t>
      </w:r>
      <w:r>
        <w:rPr>
          <w:rFonts w:cs="仿宋"/>
          <w:color w:val="auto"/>
        </w:rPr>
        <w:t>持续研发</w:t>
      </w:r>
      <w:r>
        <w:rPr>
          <w:rFonts w:hint="eastAsia" w:cs="仿宋"/>
          <w:color w:val="auto"/>
        </w:rPr>
        <w:t>投入，</w:t>
      </w:r>
      <w:r>
        <w:rPr>
          <w:rFonts w:ascii="Times New Roman" w:hAnsi="Times New Roman"/>
          <w:color w:val="auto"/>
          <w:spacing w:val="-4"/>
        </w:rPr>
        <w:t>并注重发挥好</w:t>
      </w:r>
      <w:r>
        <w:rPr>
          <w:rFonts w:hint="eastAsia" w:ascii="Times New Roman" w:hAnsi="Times New Roman"/>
          <w:color w:val="auto"/>
          <w:spacing w:val="-4"/>
        </w:rPr>
        <w:t>补助</w:t>
      </w:r>
      <w:r>
        <w:rPr>
          <w:rFonts w:ascii="Times New Roman" w:hAnsi="Times New Roman"/>
          <w:color w:val="auto"/>
          <w:spacing w:val="-4"/>
        </w:rPr>
        <w:t>资金的经济效益</w:t>
      </w:r>
      <w:r>
        <w:rPr>
          <w:rFonts w:ascii="Times New Roman" w:hAnsi="Times New Roman"/>
          <w:color w:val="auto"/>
        </w:rPr>
        <w:t>。</w:t>
      </w:r>
    </w:p>
    <w:p>
      <w:pPr>
        <w:pStyle w:val="15"/>
        <w:numPr>
          <w:ilvl w:val="0"/>
          <w:numId w:val="1"/>
        </w:numPr>
        <w:spacing w:line="594" w:lineRule="exact"/>
        <w:ind w:left="0" w:firstLine="640"/>
        <w:rPr>
          <w:rFonts w:hint="eastAsia"/>
          <w:color w:val="auto"/>
        </w:rPr>
      </w:pPr>
      <w:r>
        <w:rPr>
          <w:rFonts w:hint="eastAsia"/>
          <w:color w:val="auto"/>
        </w:rPr>
        <w:t>凡弄虚作假、伪造成果、重复申报、提供虚假证明材料等骗取补助资金的组织单位和个人，取消当年扶持资格，</w:t>
      </w:r>
      <w:r>
        <w:rPr>
          <w:rFonts w:ascii="Times New Roman" w:hAnsi="Times New Roman"/>
          <w:color w:val="auto"/>
        </w:rPr>
        <w:t>3年内不</w:t>
      </w:r>
      <w:r>
        <w:rPr>
          <w:rFonts w:hint="eastAsia"/>
          <w:color w:val="auto"/>
        </w:rPr>
        <w:t>得申报南岸区、重庆经开区科技创新相关扶持政策，</w:t>
      </w:r>
      <w:r>
        <w:rPr>
          <w:rFonts w:hint="eastAsia" w:cs="方正仿宋_GBK"/>
          <w:color w:val="auto"/>
          <w:kern w:val="0"/>
        </w:rPr>
        <w:t>纳入</w:t>
      </w:r>
      <w:r>
        <w:rPr>
          <w:rFonts w:cs="方正仿宋_GBK"/>
          <w:color w:val="auto"/>
          <w:kern w:val="0"/>
        </w:rPr>
        <w:t>国家、市</w:t>
      </w:r>
      <w:r>
        <w:rPr>
          <w:rFonts w:hint="eastAsia" w:cs="方正仿宋_GBK"/>
          <w:color w:val="auto"/>
          <w:kern w:val="0"/>
        </w:rPr>
        <w:t>和</w:t>
      </w:r>
      <w:r>
        <w:rPr>
          <w:rFonts w:cs="方正仿宋_GBK"/>
          <w:color w:val="auto"/>
          <w:kern w:val="0"/>
        </w:rPr>
        <w:t>我区失信联合惩戒</w:t>
      </w:r>
      <w:r>
        <w:rPr>
          <w:rFonts w:hint="eastAsia" w:cs="方正仿宋_GBK"/>
          <w:color w:val="auto"/>
          <w:kern w:val="0"/>
        </w:rPr>
        <w:t>名单</w:t>
      </w:r>
      <w:r>
        <w:rPr>
          <w:rFonts w:hint="eastAsia"/>
          <w:color w:val="auto"/>
        </w:rPr>
        <w:t>并依法追究相关法律责任，退回已享受的补助资金。</w:t>
      </w:r>
      <w:r>
        <w:rPr>
          <w:rFonts w:hint="eastAsia"/>
          <w:color w:val="auto"/>
          <w:lang w:val="en-US"/>
        </w:rPr>
        <w:t xml:space="preserve"> </w:t>
      </w:r>
    </w:p>
    <w:p>
      <w:pPr>
        <w:pStyle w:val="15"/>
        <w:numPr>
          <w:ilvl w:val="0"/>
          <w:numId w:val="1"/>
        </w:numPr>
        <w:spacing w:line="594" w:lineRule="exact"/>
        <w:ind w:left="0" w:firstLine="640"/>
        <w:rPr>
          <w:rFonts w:hint="eastAsia"/>
          <w:color w:val="auto"/>
        </w:rPr>
      </w:pPr>
      <w:r>
        <w:rPr>
          <w:rFonts w:hint="eastAsia" w:ascii="方正黑体_GBK" w:hAnsi="方正黑体_GBK" w:eastAsia="方正黑体_GBK" w:cs="方正黑体_GBK"/>
          <w:color w:val="auto"/>
          <w:spacing w:val="-4"/>
        </w:rPr>
        <w:t xml:space="preserve"> </w:t>
      </w:r>
      <w:r>
        <w:rPr>
          <w:rFonts w:hint="eastAsia" w:cs="方正仿宋_GBK"/>
          <w:color w:val="auto"/>
        </w:rPr>
        <w:t>区科技局、</w:t>
      </w:r>
      <w:r>
        <w:rPr>
          <w:rFonts w:hint="eastAsia" w:cs="方正仿宋_GBK"/>
          <w:color w:val="auto"/>
          <w:highlight w:val="none"/>
        </w:rPr>
        <w:t>经开</w:t>
      </w:r>
      <w:r>
        <w:rPr>
          <w:rFonts w:hint="eastAsia" w:ascii="Times New Roman" w:hAnsi="Times New Roman"/>
          <w:color w:val="auto"/>
          <w:highlight w:val="none"/>
        </w:rPr>
        <w:t>区改革发展科技局</w:t>
      </w:r>
      <w:r>
        <w:rPr>
          <w:rFonts w:hint="eastAsia" w:cs="方正仿宋_GBK"/>
          <w:color w:val="auto"/>
        </w:rPr>
        <w:t>负</w:t>
      </w:r>
      <w:r>
        <w:rPr>
          <w:rFonts w:ascii="Times New Roman" w:hAnsi="Times New Roman"/>
          <w:color w:val="auto"/>
        </w:rPr>
        <w:t>责组织开展</w:t>
      </w:r>
      <w:r>
        <w:rPr>
          <w:rFonts w:hint="eastAsia" w:ascii="Times New Roman" w:hAnsi="Times New Roman"/>
          <w:color w:val="auto"/>
        </w:rPr>
        <w:t>补助资金申报、</w:t>
      </w:r>
      <w:r>
        <w:rPr>
          <w:rFonts w:ascii="Times New Roman" w:hAnsi="Times New Roman"/>
          <w:color w:val="auto"/>
        </w:rPr>
        <w:t>资金年度预算的编制及执行</w:t>
      </w:r>
      <w:r>
        <w:rPr>
          <w:rFonts w:hint="eastAsia" w:ascii="Times New Roman" w:hAnsi="Times New Roman"/>
          <w:color w:val="auto"/>
        </w:rPr>
        <w:t>，</w:t>
      </w:r>
      <w:r>
        <w:rPr>
          <w:rFonts w:ascii="Times New Roman" w:hAnsi="Times New Roman"/>
          <w:color w:val="auto"/>
        </w:rPr>
        <w:t>会同</w:t>
      </w:r>
      <w:r>
        <w:rPr>
          <w:rFonts w:hint="eastAsia" w:ascii="Times New Roman" w:hAnsi="Times New Roman"/>
          <w:color w:val="auto"/>
        </w:rPr>
        <w:t>区财政局、经开区财务局</w:t>
      </w:r>
      <w:r>
        <w:rPr>
          <w:rFonts w:ascii="Times New Roman" w:hAnsi="Times New Roman"/>
          <w:color w:val="auto"/>
        </w:rPr>
        <w:t>等部门，定期或不定期抽查，或委托第三方机构对</w:t>
      </w:r>
      <w:r>
        <w:rPr>
          <w:rFonts w:hint="eastAsia" w:ascii="Times New Roman" w:hAnsi="Times New Roman"/>
          <w:color w:val="auto"/>
        </w:rPr>
        <w:t>区级</w:t>
      </w:r>
      <w:r>
        <w:rPr>
          <w:rFonts w:ascii="Times New Roman" w:hAnsi="Times New Roman"/>
          <w:color w:val="auto"/>
        </w:rPr>
        <w:t>补助资金的使用管理情况进行督促检查和绩效评估，</w:t>
      </w:r>
      <w:r>
        <w:rPr>
          <w:rFonts w:ascii="Times New Roman" w:hAnsi="Times New Roman"/>
          <w:color w:val="auto"/>
          <w:spacing w:val="-4"/>
        </w:rPr>
        <w:t>提高财政资金使用效益</w:t>
      </w:r>
      <w:r>
        <w:rPr>
          <w:rFonts w:hint="eastAsia" w:ascii="Times New Roman" w:hAnsi="Times New Roman"/>
          <w:color w:val="auto"/>
          <w:spacing w:val="-4"/>
        </w:rPr>
        <w:t>。</w:t>
      </w:r>
    </w:p>
    <w:p>
      <w:pPr>
        <w:pStyle w:val="15"/>
        <w:numPr>
          <w:ilvl w:val="0"/>
          <w:numId w:val="1"/>
        </w:numPr>
        <w:spacing w:line="594" w:lineRule="exact"/>
        <w:ind w:left="0" w:firstLine="640"/>
        <w:rPr>
          <w:rFonts w:ascii="Times New Roman" w:hAnsi="Times New Roman"/>
          <w:color w:val="auto"/>
          <w:spacing w:val="-4"/>
        </w:rPr>
      </w:pPr>
      <w:r>
        <w:rPr>
          <w:rFonts w:ascii="Times New Roman" w:hAnsi="Times New Roman"/>
          <w:color w:val="auto"/>
          <w:spacing w:val="-4"/>
        </w:rPr>
        <w:t>相关部门等涉及</w:t>
      </w:r>
      <w:r>
        <w:rPr>
          <w:rFonts w:hint="eastAsia" w:ascii="Times New Roman" w:hAnsi="Times New Roman"/>
          <w:color w:val="auto"/>
          <w:spacing w:val="-4"/>
        </w:rPr>
        <w:t>专项</w:t>
      </w:r>
      <w:r>
        <w:rPr>
          <w:rFonts w:ascii="Times New Roman" w:hAnsi="Times New Roman"/>
          <w:color w:val="auto"/>
          <w:spacing w:val="-4"/>
        </w:rPr>
        <w:t>补助资金分配和管理的工作人员，如存在以权谋私、滥用职权、玩忽职守、徇私舞弊等违法违纪行为的，按照有关法律法规追究相应责任；涉嫌犯罪的，移送司法机关处理。</w:t>
      </w:r>
    </w:p>
    <w:p>
      <w:pPr>
        <w:adjustRightInd w:val="0"/>
        <w:snapToGrid w:val="0"/>
        <w:spacing w:line="594" w:lineRule="exact"/>
        <w:jc w:val="center"/>
        <w:rPr>
          <w:rFonts w:hint="eastAsia" w:ascii="方正黑体_GBK" w:hAnsi="方正黑体_GBK" w:eastAsia="方正黑体_GBK" w:cs="方正黑体_GBK"/>
          <w:color w:val="auto"/>
          <w:sz w:val="32"/>
        </w:rPr>
      </w:pPr>
      <w:r>
        <w:rPr>
          <w:rFonts w:hint="eastAsia" w:ascii="方正黑体_GBK" w:hAnsi="方正黑体_GBK" w:eastAsia="方正黑体_GBK" w:cs="方正黑体_GBK"/>
          <w:color w:val="auto"/>
          <w:sz w:val="32"/>
        </w:rPr>
        <w:t>第四章 附则</w:t>
      </w:r>
    </w:p>
    <w:p>
      <w:pPr>
        <w:pStyle w:val="16"/>
        <w:ind w:left="0" w:leftChars="0"/>
        <w:rPr>
          <w:rFonts w:hint="eastAsia"/>
          <w:color w:val="auto"/>
          <w:lang w:val="zh-CN" w:bidi="zh-CN"/>
        </w:rPr>
      </w:pPr>
    </w:p>
    <w:p>
      <w:pPr>
        <w:pStyle w:val="15"/>
        <w:numPr>
          <w:ilvl w:val="0"/>
          <w:numId w:val="1"/>
        </w:numPr>
        <w:spacing w:line="594" w:lineRule="exact"/>
        <w:ind w:left="0" w:firstLine="640"/>
        <w:rPr>
          <w:rFonts w:hint="eastAsia"/>
          <w:color w:val="auto"/>
        </w:rPr>
      </w:pPr>
      <w:r>
        <w:rPr>
          <w:rFonts w:hint="eastAsia"/>
          <w:color w:val="auto"/>
          <w:lang w:val="en-US"/>
        </w:rPr>
        <w:t>本细则由区科技局、</w:t>
      </w:r>
      <w:r>
        <w:rPr>
          <w:rFonts w:hint="eastAsia"/>
          <w:color w:val="auto"/>
          <w:highlight w:val="none"/>
          <w:lang w:val="en-US"/>
        </w:rPr>
        <w:t>经开区改革发展科技局</w:t>
      </w:r>
      <w:r>
        <w:rPr>
          <w:rFonts w:hint="eastAsia"/>
          <w:color w:val="auto"/>
          <w:highlight w:val="none"/>
          <w:lang w:val="en-US" w:eastAsia="zh-CN"/>
        </w:rPr>
        <w:t>、经开区创新创业服务中心</w:t>
      </w:r>
      <w:r>
        <w:rPr>
          <w:rFonts w:hint="eastAsia"/>
          <w:color w:val="auto"/>
          <w:lang w:val="en-US"/>
        </w:rPr>
        <w:t>负责解释。</w:t>
      </w:r>
    </w:p>
    <w:p>
      <w:pPr>
        <w:pStyle w:val="15"/>
        <w:numPr>
          <w:ilvl w:val="0"/>
          <w:numId w:val="1"/>
        </w:numPr>
        <w:spacing w:line="594" w:lineRule="exact"/>
        <w:ind w:left="0" w:firstLine="640"/>
        <w:rPr>
          <w:rFonts w:hint="eastAsia" w:ascii="Times New Roman" w:hAnsi="Times New Roman" w:eastAsia="方正仿宋_GBK"/>
          <w:color w:val="auto"/>
          <w:sz w:val="32"/>
        </w:rPr>
      </w:pPr>
      <w:r>
        <w:rPr>
          <w:rFonts w:ascii="Times New Roman" w:hAnsi="Times New Roman"/>
          <w:color w:val="auto"/>
        </w:rPr>
        <w:t>本细则自印发之日起施行，</w:t>
      </w:r>
      <w:r>
        <w:rPr>
          <w:rFonts w:hint="eastAsia" w:ascii="Times New Roman" w:hAnsi="Times New Roman"/>
          <w:color w:val="auto"/>
        </w:rPr>
        <w:t>有效期至</w:t>
      </w:r>
      <w:r>
        <w:rPr>
          <w:rFonts w:ascii="Times New Roman" w:hAnsi="Times New Roman"/>
          <w:color w:val="auto"/>
        </w:rPr>
        <w:t>202</w:t>
      </w:r>
      <w:r>
        <w:rPr>
          <w:rFonts w:hint="eastAsia" w:ascii="Times New Roman" w:hAnsi="Times New Roman"/>
          <w:color w:val="auto"/>
          <w:lang w:val="en-US"/>
        </w:rPr>
        <w:t>5</w:t>
      </w:r>
      <w:r>
        <w:rPr>
          <w:rFonts w:ascii="Times New Roman" w:hAnsi="Times New Roman"/>
          <w:color w:val="auto"/>
        </w:rPr>
        <w:t>年12月3</w:t>
      </w:r>
      <w:r>
        <w:rPr>
          <w:rFonts w:hint="eastAsia" w:ascii="Times New Roman" w:hAnsi="Times New Roman"/>
          <w:color w:val="auto"/>
          <w:lang w:val="en-US"/>
        </w:rPr>
        <w:t>1</w:t>
      </w:r>
      <w:r>
        <w:rPr>
          <w:rFonts w:ascii="Times New Roman" w:hAnsi="Times New Roman"/>
          <w:color w:val="auto"/>
        </w:rPr>
        <w:t>日止。如有关法律政策依据发生变化，根据实施情况依法评估修订。</w:t>
      </w:r>
    </w:p>
    <w:p>
      <w:pPr>
        <w:adjustRightInd w:val="0"/>
        <w:snapToGrid w:val="0"/>
        <w:spacing w:line="594" w:lineRule="exact"/>
        <w:ind w:left="958" w:leftChars="304" w:hanging="320" w:hangingChars="100"/>
        <w:rPr>
          <w:rFonts w:hint="eastAsia" w:ascii="Times New Roman" w:hAnsi="Times New Roman" w:eastAsia="方正仿宋_GBK"/>
          <w:color w:val="auto"/>
          <w:sz w:val="32"/>
          <w:szCs w:val="32"/>
          <w:lang w:val="zh-CN"/>
        </w:rPr>
      </w:pPr>
      <w:r>
        <w:rPr>
          <w:rFonts w:hint="eastAsia" w:ascii="Times New Roman" w:hAnsi="Times New Roman" w:eastAsia="方正仿宋_GBK"/>
          <w:color w:val="auto"/>
          <w:sz w:val="32"/>
        </w:rPr>
        <w:t>附件：1.南岸区、重庆经开区</w:t>
      </w:r>
      <w:r>
        <w:rPr>
          <w:rFonts w:hint="eastAsia" w:ascii="Times New Roman" w:hAnsi="Times New Roman" w:eastAsia="方正仿宋_GBK"/>
          <w:color w:val="auto"/>
          <w:sz w:val="32"/>
          <w:szCs w:val="32"/>
          <w:lang w:val="zh-CN"/>
        </w:rPr>
        <w:t>科技创新政策申报指南</w:t>
      </w:r>
    </w:p>
    <w:p>
      <w:pPr>
        <w:pStyle w:val="15"/>
        <w:spacing w:line="594" w:lineRule="exact"/>
        <w:ind w:left="0"/>
        <w:rPr>
          <w:rFonts w:hint="eastAsia" w:ascii="Times New Roman" w:hAnsi="Times New Roman"/>
          <w:color w:val="auto"/>
        </w:rPr>
      </w:pPr>
      <w:r>
        <w:rPr>
          <w:rFonts w:hint="eastAsia" w:ascii="Times New Roman" w:hAnsi="Times New Roman"/>
          <w:color w:val="auto"/>
          <w:lang w:val="en-US"/>
        </w:rPr>
        <w:t xml:space="preserve">    </w:t>
      </w:r>
      <w:r>
        <w:rPr>
          <w:rFonts w:hint="eastAsia" w:ascii="Times New Roman" w:hAnsi="Times New Roman"/>
          <w:color w:val="auto"/>
        </w:rPr>
        <w:t xml:space="preserve">  </w:t>
      </w:r>
      <w:r>
        <w:rPr>
          <w:rFonts w:hint="eastAsia" w:ascii="Times New Roman" w:hAnsi="Times New Roman"/>
          <w:color w:val="auto"/>
          <w:lang w:val="en-US"/>
        </w:rPr>
        <w:t xml:space="preserve">    2</w:t>
      </w:r>
      <w:r>
        <w:rPr>
          <w:rFonts w:hint="eastAsia" w:ascii="Times New Roman" w:hAnsi="Times New Roman"/>
          <w:color w:val="auto"/>
        </w:rPr>
        <w:t>.南岸区、重庆经开区科技创新政策补助申请表</w:t>
      </w:r>
    </w:p>
    <w:p>
      <w:pPr>
        <w:adjustRightInd w:val="0"/>
        <w:snapToGrid w:val="0"/>
        <w:spacing w:line="594" w:lineRule="exact"/>
        <w:ind w:firstLine="1600" w:firstLineChars="5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真实性承诺书</w:t>
      </w:r>
    </w:p>
    <w:p>
      <w:pPr>
        <w:pStyle w:val="9"/>
        <w:spacing w:before="0" w:beforeAutospacing="0" w:after="0" w:afterAutospacing="0" w:line="594" w:lineRule="exact"/>
        <w:ind w:firstLine="640" w:firstLineChars="200"/>
        <w:jc w:val="both"/>
        <w:rPr>
          <w:rFonts w:ascii="Times New Roman" w:hAnsi="Times New Roman" w:eastAsia="方正仿宋_GBK" w:cs="Times New Roman"/>
          <w:color w:val="auto"/>
          <w:kern w:val="2"/>
          <w:sz w:val="32"/>
          <w:szCs w:val="32"/>
        </w:rPr>
      </w:pPr>
    </w:p>
    <w:p>
      <w:pPr>
        <w:adjustRightInd w:val="0"/>
        <w:snapToGrid w:val="0"/>
        <w:spacing w:line="594" w:lineRule="exact"/>
        <w:rPr>
          <w:rFonts w:ascii="Times New Roman" w:hAnsi="Times New Roman" w:eastAsia="方正仿宋_GBK"/>
          <w:color w:val="auto"/>
          <w:sz w:val="32"/>
          <w:szCs w:val="32"/>
        </w:rPr>
        <w:sectPr>
          <w:headerReference r:id="rId3" w:type="default"/>
          <w:footerReference r:id="rId4" w:type="default"/>
          <w:pgSz w:w="11906" w:h="16838"/>
          <w:pgMar w:top="1962" w:right="1474" w:bottom="1848" w:left="1587" w:header="851" w:footer="992" w:gutter="0"/>
          <w:pgNumType w:fmt="decimal"/>
          <w:cols w:space="720" w:num="1"/>
          <w:docGrid w:type="lines" w:linePitch="312" w:charSpace="0"/>
        </w:sectPr>
      </w:pPr>
      <w:r>
        <w:rPr>
          <w:rFonts w:hint="eastAsia" w:ascii="Times New Roman" w:hAnsi="Times New Roman" w:eastAsia="方正仿宋_GBK"/>
          <w:color w:val="auto"/>
          <w:sz w:val="32"/>
          <w:szCs w:val="32"/>
        </w:rPr>
        <w:t xml:space="preserve">                          </w:t>
      </w:r>
    </w:p>
    <w:p>
      <w:pPr>
        <w:pStyle w:val="16"/>
        <w:ind w:left="0" w:leftChars="0"/>
        <w:rPr>
          <w:rFonts w:hint="eastAsia" w:ascii="方正黑体_GBK" w:hAnsi="方正黑体_GBK" w:eastAsia="方正黑体_GBK" w:cs="方正黑体_GBK"/>
          <w:color w:val="auto"/>
          <w:sz w:val="32"/>
          <w:szCs w:val="32"/>
        </w:rPr>
      </w:pPr>
    </w:p>
    <w:p>
      <w:pPr>
        <w:pStyle w:val="16"/>
        <w:ind w:left="0" w:leftChars="0"/>
        <w:rPr>
          <w:rFonts w:hint="eastAsia" w:ascii="方正黑体_GBK" w:hAnsi="方正黑体_GBK" w:eastAsia="方正黑体_GBK" w:cs="方正黑体_GBK"/>
          <w:color w:val="auto"/>
          <w:sz w:val="32"/>
          <w:szCs w:val="32"/>
        </w:rPr>
      </w:pPr>
    </w:p>
    <w:p>
      <w:pPr>
        <w:pStyle w:val="16"/>
        <w:ind w:left="0" w:leftChars="0"/>
        <w:rPr>
          <w:rFonts w:hint="eastAsia" w:ascii="方正黑体_GBK" w:hAnsi="方正黑体_GBK" w:eastAsia="方正黑体_GBK" w:cs="方正黑体_GBK"/>
          <w:color w:val="auto"/>
          <w:sz w:val="32"/>
          <w:szCs w:val="32"/>
        </w:rPr>
      </w:pPr>
    </w:p>
    <w:p>
      <w:pPr>
        <w:pStyle w:val="16"/>
        <w:ind w:left="0" w:leftChars="0"/>
        <w:rPr>
          <w:rFonts w:hint="eastAsia" w:ascii="方正黑体_GBK" w:hAnsi="方正黑体_GBK" w:eastAsia="方正黑体_GBK" w:cs="方正黑体_GBK"/>
          <w:color w:val="auto"/>
          <w:sz w:val="32"/>
          <w:szCs w:val="32"/>
        </w:rPr>
      </w:pPr>
    </w:p>
    <w:p>
      <w:pPr>
        <w:pStyle w:val="16"/>
        <w:ind w:left="0" w:leftChars="0"/>
        <w:rPr>
          <w:rFonts w:hint="eastAsia" w:ascii="方正黑体_GBK" w:hAnsi="方正黑体_GBK" w:eastAsia="方正黑体_GBK" w:cs="方正黑体_GBK"/>
          <w:color w:val="auto"/>
          <w:sz w:val="32"/>
          <w:szCs w:val="32"/>
        </w:rPr>
      </w:pPr>
    </w:p>
    <w:p>
      <w:pPr>
        <w:pStyle w:val="16"/>
        <w:ind w:left="0" w:leftChars="0"/>
        <w:rPr>
          <w:rFonts w:hint="eastAsia" w:ascii="方正黑体_GBK" w:hAnsi="方正黑体_GBK" w:eastAsia="方正黑体_GBK" w:cs="方正黑体_GBK"/>
          <w:color w:val="auto"/>
          <w:sz w:val="32"/>
          <w:szCs w:val="32"/>
        </w:rPr>
      </w:pPr>
    </w:p>
    <w:p>
      <w:pPr>
        <w:pStyle w:val="16"/>
        <w:ind w:left="0" w:leftChars="0"/>
        <w:rPr>
          <w:rFonts w:hint="eastAsia" w:ascii="方正黑体_GBK" w:hAnsi="方正黑体_GBK" w:eastAsia="方正黑体_GBK" w:cs="方正黑体_GBK"/>
          <w:color w:val="auto"/>
          <w:sz w:val="32"/>
          <w:szCs w:val="32"/>
        </w:rPr>
      </w:pPr>
    </w:p>
    <w:p>
      <w:pPr>
        <w:pStyle w:val="16"/>
        <w:ind w:left="0" w:leftChars="0"/>
        <w:rPr>
          <w:rFonts w:hint="eastAsia" w:ascii="方正黑体_GBK" w:hAnsi="方正黑体_GBK" w:eastAsia="方正黑体_GBK" w:cs="方正黑体_GBK"/>
          <w:color w:val="auto"/>
          <w:sz w:val="32"/>
          <w:szCs w:val="32"/>
        </w:rPr>
      </w:pPr>
    </w:p>
    <w:p>
      <w:pPr>
        <w:pStyle w:val="16"/>
        <w:ind w:left="0" w:leftChars="0"/>
        <w:rPr>
          <w:rFonts w:hint="eastAsia" w:ascii="方正黑体_GBK" w:hAnsi="方正黑体_GBK" w:eastAsia="方正黑体_GBK" w:cs="方正黑体_GBK"/>
          <w:color w:val="auto"/>
          <w:sz w:val="32"/>
          <w:szCs w:val="32"/>
        </w:rPr>
      </w:pPr>
    </w:p>
    <w:p>
      <w:pPr>
        <w:pStyle w:val="16"/>
        <w:ind w:left="0" w:leftChars="0"/>
        <w:rPr>
          <w:rFonts w:hint="eastAsia" w:ascii="方正黑体_GBK" w:hAnsi="方正黑体_GBK" w:eastAsia="方正黑体_GBK" w:cs="方正黑体_GBK"/>
          <w:color w:val="auto"/>
          <w:sz w:val="32"/>
          <w:szCs w:val="32"/>
        </w:rPr>
      </w:pPr>
    </w:p>
    <w:p>
      <w:pPr>
        <w:pStyle w:val="16"/>
        <w:ind w:left="0" w:leftChars="0"/>
        <w:rPr>
          <w:rFonts w:hint="eastAsia" w:ascii="方正黑体_GBK" w:hAnsi="方正黑体_GBK" w:eastAsia="方正黑体_GBK" w:cs="方正黑体_GBK"/>
          <w:color w:val="auto"/>
          <w:sz w:val="32"/>
          <w:szCs w:val="32"/>
        </w:rPr>
      </w:pPr>
    </w:p>
    <w:p>
      <w:pPr>
        <w:pStyle w:val="16"/>
        <w:ind w:left="0" w:leftChars="0"/>
        <w:rPr>
          <w:rFonts w:hint="eastAsia" w:ascii="方正黑体_GBK" w:hAnsi="方正黑体_GBK" w:eastAsia="方正黑体_GBK" w:cs="方正黑体_GBK"/>
          <w:color w:val="auto"/>
          <w:sz w:val="32"/>
          <w:szCs w:val="32"/>
        </w:rPr>
      </w:pPr>
    </w:p>
    <w:p>
      <w:pPr>
        <w:pStyle w:val="16"/>
        <w:ind w:left="0" w:leftChars="0"/>
        <w:rPr>
          <w:rFonts w:hint="eastAsia" w:ascii="方正黑体_GBK" w:hAnsi="方正黑体_GBK" w:eastAsia="方正黑体_GBK" w:cs="方正黑体_GBK"/>
          <w:color w:val="auto"/>
          <w:sz w:val="32"/>
          <w:szCs w:val="32"/>
        </w:rPr>
      </w:pPr>
    </w:p>
    <w:p>
      <w:pPr>
        <w:pStyle w:val="16"/>
        <w:ind w:left="0" w:leftChars="0"/>
        <w:rPr>
          <w:rFonts w:hint="eastAsia" w:ascii="方正黑体_GBK" w:hAnsi="方正黑体_GBK" w:eastAsia="方正黑体_GBK" w:cs="方正黑体_GBK"/>
          <w:color w:val="auto"/>
          <w:sz w:val="32"/>
          <w:szCs w:val="32"/>
        </w:rPr>
      </w:pPr>
    </w:p>
    <w:p>
      <w:pPr>
        <w:pStyle w:val="16"/>
        <w:ind w:left="0" w:leftChars="0"/>
        <w:rPr>
          <w:rFonts w:hint="eastAsia" w:ascii="方正黑体_GBK" w:hAnsi="方正黑体_GBK" w:eastAsia="方正黑体_GBK" w:cs="方正黑体_GBK"/>
          <w:color w:val="auto"/>
          <w:sz w:val="32"/>
          <w:szCs w:val="32"/>
        </w:rPr>
      </w:pPr>
    </w:p>
    <w:p>
      <w:pPr>
        <w:pStyle w:val="16"/>
        <w:ind w:left="0" w:leftChars="0"/>
        <w:rPr>
          <w:rFonts w:hint="eastAsia" w:ascii="方正黑体_GBK" w:hAnsi="方正黑体_GBK" w:eastAsia="方正黑体_GBK" w:cs="方正黑体_GBK"/>
          <w:color w:val="auto"/>
          <w:sz w:val="32"/>
          <w:szCs w:val="32"/>
        </w:rPr>
      </w:pPr>
    </w:p>
    <w:p>
      <w:pPr>
        <w:pStyle w:val="16"/>
        <w:ind w:left="0" w:leftChars="0"/>
        <w:rPr>
          <w:rFonts w:hint="eastAsia" w:ascii="方正黑体_GBK" w:hAnsi="方正黑体_GBK" w:eastAsia="方正黑体_GBK" w:cs="方正黑体_GBK"/>
          <w:color w:val="auto"/>
          <w:sz w:val="32"/>
          <w:szCs w:val="32"/>
        </w:rPr>
      </w:pPr>
      <w:bookmarkStart w:id="0" w:name="_GoBack"/>
      <w:bookmarkEnd w:id="0"/>
      <w:r>
        <w:rPr>
          <w:rFonts w:hint="eastAsia" w:ascii="方正黑体_GBK" w:hAnsi="方正黑体_GBK" w:eastAsia="方正黑体_GBK" w:cs="方正黑体_GBK"/>
          <w:color w:val="auto"/>
          <w:sz w:val="32"/>
          <w:szCs w:val="32"/>
        </w:rPr>
        <w:t>附件1</w:t>
      </w:r>
    </w:p>
    <w:p>
      <w:pPr>
        <w:pStyle w:val="17"/>
        <w:adjustRightInd w:val="0"/>
        <w:snapToGrid w:val="0"/>
        <w:spacing w:line="600" w:lineRule="atLeast"/>
        <w:ind w:firstLine="0" w:firstLineChars="0"/>
        <w:jc w:val="both"/>
        <w:rPr>
          <w:rFonts w:hint="eastAsia" w:ascii="方正小标宋_GBK" w:hAnsi="方正小标宋_GBK" w:eastAsia="方正小标宋_GBK" w:cs="方正小标宋_GBK"/>
          <w:color w:val="auto"/>
          <w:sz w:val="44"/>
          <w:szCs w:val="44"/>
        </w:rPr>
      </w:pPr>
    </w:p>
    <w:p>
      <w:pPr>
        <w:pStyle w:val="17"/>
        <w:adjustRightInd w:val="0"/>
        <w:snapToGrid w:val="0"/>
        <w:spacing w:line="600" w:lineRule="atLeast"/>
        <w:ind w:firstLine="0" w:firstLineChars="0"/>
        <w:jc w:val="both"/>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pacing w:val="1"/>
          <w:w w:val="97"/>
          <w:kern w:val="0"/>
          <w:sz w:val="44"/>
          <w:szCs w:val="44"/>
          <w:fitText w:val="8140" w:id="947805237"/>
        </w:rPr>
        <w:t>南岸区、重庆经开区</w:t>
      </w:r>
      <w:r>
        <w:rPr>
          <w:rFonts w:hint="eastAsia" w:ascii="方正小标宋_GBK" w:hAnsi="方正小标宋_GBK" w:eastAsia="方正小标宋_GBK" w:cs="方正小标宋_GBK"/>
          <w:color w:val="auto"/>
          <w:spacing w:val="1"/>
          <w:w w:val="97"/>
          <w:kern w:val="0"/>
          <w:sz w:val="44"/>
          <w:szCs w:val="44"/>
          <w:fitText w:val="8140" w:id="947805237"/>
          <w:lang w:val="zh-CN"/>
        </w:rPr>
        <w:t>科技创新政策申报指</w:t>
      </w:r>
      <w:r>
        <w:rPr>
          <w:rFonts w:hint="eastAsia" w:ascii="方正小标宋_GBK" w:hAnsi="方正小标宋_GBK" w:eastAsia="方正小标宋_GBK" w:cs="方正小标宋_GBK"/>
          <w:color w:val="auto"/>
          <w:spacing w:val="2"/>
          <w:w w:val="97"/>
          <w:kern w:val="0"/>
          <w:sz w:val="44"/>
          <w:szCs w:val="44"/>
          <w:fitText w:val="8140" w:id="947805237"/>
          <w:lang w:val="zh-CN"/>
        </w:rPr>
        <w:t>南</w:t>
      </w:r>
    </w:p>
    <w:p>
      <w:pPr>
        <w:pStyle w:val="17"/>
        <w:adjustRightInd w:val="0"/>
        <w:snapToGrid w:val="0"/>
        <w:spacing w:line="600" w:lineRule="atLeast"/>
        <w:ind w:firstLine="0" w:firstLineChars="0"/>
        <w:jc w:val="both"/>
        <w:rPr>
          <w:rFonts w:hint="eastAsia" w:ascii="方正小标宋_GBK" w:hAnsi="方正小标宋_GBK" w:eastAsia="方正小标宋_GBK" w:cs="方正小标宋_GBK"/>
          <w:color w:val="auto"/>
          <w:sz w:val="44"/>
          <w:szCs w:val="44"/>
        </w:rPr>
      </w:pPr>
    </w:p>
    <w:p>
      <w:pPr>
        <w:pStyle w:val="17"/>
        <w:adjustRightInd w:val="0"/>
        <w:snapToGrid w:val="0"/>
        <w:spacing w:line="600" w:lineRule="atLeast"/>
        <w:ind w:firstLine="640"/>
        <w:rPr>
          <w:rFonts w:ascii="Times New Roman" w:hAnsi="Times New Roman" w:eastAsia="方正黑体_GBK"/>
          <w:color w:val="auto"/>
          <w:sz w:val="32"/>
          <w:szCs w:val="32"/>
        </w:rPr>
      </w:pPr>
    </w:p>
    <w:p>
      <w:pPr>
        <w:pStyle w:val="17"/>
        <w:adjustRightInd w:val="0"/>
        <w:snapToGrid w:val="0"/>
        <w:spacing w:line="600" w:lineRule="atLeast"/>
        <w:ind w:firstLine="640"/>
        <w:rPr>
          <w:rFonts w:ascii="Times New Roman" w:hAnsi="Times New Roman" w:eastAsia="方正仿宋_GBK"/>
          <w:color w:val="auto"/>
          <w:sz w:val="32"/>
          <w:szCs w:val="32"/>
        </w:rPr>
      </w:pPr>
      <w:r>
        <w:rPr>
          <w:rFonts w:ascii="Times New Roman" w:hAnsi="Times New Roman" w:eastAsia="方正黑体_GBK"/>
          <w:color w:val="auto"/>
          <w:sz w:val="32"/>
          <w:szCs w:val="32"/>
        </w:rPr>
        <w:t>一、申报流程</w:t>
      </w:r>
    </w:p>
    <w:p>
      <w:pPr>
        <w:adjustRightInd w:val="0"/>
        <w:snapToGrid w:val="0"/>
        <w:spacing w:line="579" w:lineRule="exact"/>
        <w:rPr>
          <w:rFonts w:hint="eastAsia" w:ascii="Times New Roman" w:hAnsi="Times New Roman" w:eastAsia="方正仿宋_GBK"/>
          <w:color w:val="auto"/>
          <w:sz w:val="32"/>
          <w:szCs w:val="32"/>
        </w:rPr>
      </w:pP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2816225</wp:posOffset>
                </wp:positionH>
                <wp:positionV relativeFrom="paragraph">
                  <wp:posOffset>223520</wp:posOffset>
                </wp:positionV>
                <wp:extent cx="858520" cy="826770"/>
                <wp:effectExtent l="14605" t="14605" r="22225" b="15875"/>
                <wp:wrapNone/>
                <wp:docPr id="3" name="流程图: 过程 3"/>
                <wp:cNvGraphicFramePr/>
                <a:graphic xmlns:a="http://schemas.openxmlformats.org/drawingml/2006/main">
                  <a:graphicData uri="http://schemas.microsoft.com/office/word/2010/wordprocessingShape">
                    <wps:wsp>
                      <wps:cNvSpPr/>
                      <wps:spPr>
                        <a:xfrm>
                          <a:off x="0" y="0"/>
                          <a:ext cx="858520" cy="826770"/>
                        </a:xfrm>
                        <a:prstGeom prst="flowChartProcess">
                          <a:avLst/>
                        </a:prstGeom>
                        <a:solidFill>
                          <a:srgbClr val="FFFFFF"/>
                        </a:solidFill>
                        <a:ln w="28575" cap="flat" cmpd="sng">
                          <a:solidFill>
                            <a:srgbClr val="000000"/>
                          </a:solidFill>
                          <a:prstDash val="solid"/>
                          <a:miter/>
                          <a:headEnd type="none" w="med" len="med"/>
                          <a:tailEnd type="none" w="med" len="med"/>
                        </a:ln>
                        <a:effectLst/>
                      </wps:spPr>
                      <wps:txbx>
                        <w:txbxContent>
                          <w:p>
                            <w:pPr>
                              <w:spacing w:line="300" w:lineRule="exact"/>
                              <w:jc w:val="center"/>
                              <w:rPr>
                                <w:rFonts w:hint="eastAsia" w:ascii="方正黑体_GBK" w:hAnsi="方正黑体_GBK" w:eastAsia="方正黑体_GBK" w:cs="方正黑体_GBK"/>
                                <w:b/>
                                <w:bCs/>
                                <w:sz w:val="28"/>
                                <w:szCs w:val="28"/>
                              </w:rPr>
                            </w:pPr>
                          </w:p>
                          <w:p>
                            <w:pPr>
                              <w:spacing w:line="300" w:lineRule="exact"/>
                              <w:jc w:val="center"/>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网上</w:t>
                            </w:r>
                          </w:p>
                          <w:p>
                            <w:pPr>
                              <w:spacing w:line="300" w:lineRule="exact"/>
                              <w:jc w:val="center"/>
                              <w:rPr>
                                <w:b/>
                                <w:bCs/>
                                <w:sz w:val="28"/>
                                <w:szCs w:val="28"/>
                              </w:rPr>
                            </w:pPr>
                            <w:r>
                              <w:rPr>
                                <w:rFonts w:hint="eastAsia" w:ascii="方正黑体_GBK" w:hAnsi="方正黑体_GBK" w:eastAsia="方正黑体_GBK" w:cs="方正黑体_GBK"/>
                                <w:b/>
                                <w:bCs/>
                                <w:sz w:val="28"/>
                                <w:szCs w:val="28"/>
                              </w:rPr>
                              <w:t>公示</w:t>
                            </w:r>
                          </w:p>
                        </w:txbxContent>
                      </wps:txbx>
                      <wps:bodyPr upright="1"/>
                    </wps:wsp>
                  </a:graphicData>
                </a:graphic>
              </wp:anchor>
            </w:drawing>
          </mc:Choice>
          <mc:Fallback>
            <w:pict>
              <v:shape id="_x0000_s1026" o:spid="_x0000_s1026" o:spt="109" type="#_x0000_t109" style="position:absolute;left:0pt;margin-left:221.75pt;margin-top:17.6pt;height:65.1pt;width:67.6pt;z-index:251662336;mso-width-relative:page;mso-height-relative:page;" fillcolor="#FFFFFF" filled="t" stroked="t" coordsize="21600,21600" o:gfxdata="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yfK&#10;tdoAAAAKAQAADwAAAAAAAAABACAAAAAiAAAAZHJzL2Rvd25yZXYueG1sUEsBAhQAFAAAAAgAh07i&#10;QIt61hkgAgAATgQAAA4AAAAAAAAAAQAgAAAAKQEAAGRycy9lMm9Eb2MueG1sUEsFBgAAAAAGAAYA&#10;WQEAALsFAAAAAA==&#10;">
                <v:fill on="t" focussize="0,0"/>
                <v:stroke weight="2.25pt" color="#000000" joinstyle="miter"/>
                <v:imagedata o:title=""/>
                <o:lock v:ext="edit" aspectratio="f"/>
                <v:textbox>
                  <w:txbxContent>
                    <w:p>
                      <w:pPr>
                        <w:spacing w:line="300" w:lineRule="exact"/>
                        <w:jc w:val="center"/>
                        <w:rPr>
                          <w:rFonts w:hint="eastAsia" w:ascii="方正黑体_GBK" w:hAnsi="方正黑体_GBK" w:eastAsia="方正黑体_GBK" w:cs="方正黑体_GBK"/>
                          <w:b/>
                          <w:bCs/>
                          <w:sz w:val="28"/>
                          <w:szCs w:val="28"/>
                        </w:rPr>
                      </w:pPr>
                    </w:p>
                    <w:p>
                      <w:pPr>
                        <w:spacing w:line="300" w:lineRule="exact"/>
                        <w:jc w:val="center"/>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网上</w:t>
                      </w:r>
                    </w:p>
                    <w:p>
                      <w:pPr>
                        <w:spacing w:line="300" w:lineRule="exact"/>
                        <w:jc w:val="center"/>
                        <w:rPr>
                          <w:b/>
                          <w:bCs/>
                          <w:sz w:val="28"/>
                          <w:szCs w:val="28"/>
                        </w:rPr>
                      </w:pPr>
                      <w:r>
                        <w:rPr>
                          <w:rFonts w:hint="eastAsia" w:ascii="方正黑体_GBK" w:hAnsi="方正黑体_GBK" w:eastAsia="方正黑体_GBK" w:cs="方正黑体_GBK"/>
                          <w:b/>
                          <w:bCs/>
                          <w:sz w:val="28"/>
                          <w:szCs w:val="28"/>
                        </w:rPr>
                        <w:t>公示</w:t>
                      </w:r>
                    </w:p>
                  </w:txbxContent>
                </v:textbox>
              </v:shape>
            </w:pict>
          </mc:Fallback>
        </mc:AlternateContent>
      </w:r>
      <w:r>
        <w:rPr>
          <w:color w:val="auto"/>
          <w:sz w:val="32"/>
        </w:rPr>
        <mc:AlternateContent>
          <mc:Choice Requires="wps">
            <w:drawing>
              <wp:anchor distT="0" distB="0" distL="114300" distR="114300" simplePos="0" relativeHeight="251663360" behindDoc="0" locked="0" layoutInCell="1" allowOverlap="1">
                <wp:simplePos x="0" y="0"/>
                <wp:positionH relativeFrom="column">
                  <wp:posOffset>4057650</wp:posOffset>
                </wp:positionH>
                <wp:positionV relativeFrom="paragraph">
                  <wp:posOffset>220345</wp:posOffset>
                </wp:positionV>
                <wp:extent cx="943610" cy="835660"/>
                <wp:effectExtent l="13970" t="13970" r="33020" b="26670"/>
                <wp:wrapNone/>
                <wp:docPr id="2" name="流程图: 过程 2"/>
                <wp:cNvGraphicFramePr/>
                <a:graphic xmlns:a="http://schemas.openxmlformats.org/drawingml/2006/main">
                  <a:graphicData uri="http://schemas.microsoft.com/office/word/2010/wordprocessingShape">
                    <wps:wsp>
                      <wps:cNvSpPr/>
                      <wps:spPr>
                        <a:xfrm>
                          <a:off x="0" y="0"/>
                          <a:ext cx="943610" cy="835660"/>
                        </a:xfrm>
                        <a:prstGeom prst="flowChartProcess">
                          <a:avLst/>
                        </a:prstGeom>
                        <a:solidFill>
                          <a:srgbClr val="FFFFFF"/>
                        </a:solidFill>
                        <a:ln w="28575" cap="flat" cmpd="sng">
                          <a:solidFill>
                            <a:srgbClr val="000000"/>
                          </a:solidFill>
                          <a:prstDash val="solid"/>
                          <a:miter/>
                          <a:headEnd type="none" w="med" len="med"/>
                          <a:tailEnd type="none" w="med" len="med"/>
                        </a:ln>
                        <a:effectLst/>
                      </wps:spPr>
                      <wps:txbx>
                        <w:txbxContent>
                          <w:p>
                            <w:pPr>
                              <w:spacing w:line="300" w:lineRule="exact"/>
                              <w:rPr>
                                <w:rFonts w:hint="eastAsia" w:ascii="方正黑体_GBK" w:hAnsi="方正黑体_GBK" w:eastAsia="方正黑体_GBK" w:cs="方正黑体_GBK"/>
                                <w:b/>
                                <w:bCs/>
                                <w:sz w:val="28"/>
                                <w:szCs w:val="28"/>
                              </w:rPr>
                            </w:pPr>
                          </w:p>
                          <w:p>
                            <w:pPr>
                              <w:spacing w:line="300" w:lineRule="exact"/>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审议通过</w:t>
                            </w:r>
                          </w:p>
                          <w:p>
                            <w:pPr>
                              <w:pStyle w:val="2"/>
                              <w:spacing w:before="0" w:beforeAutospacing="0" w:after="0" w:afterAutospacing="0" w:line="300" w:lineRule="exact"/>
                              <w:rPr>
                                <w:rFonts w:hint="default"/>
                                <w:bCs/>
                                <w:sz w:val="28"/>
                                <w:szCs w:val="28"/>
                              </w:rPr>
                            </w:pPr>
                            <w:r>
                              <w:rPr>
                                <w:rFonts w:ascii="方正黑体_GBK" w:hAnsi="方正黑体_GBK" w:eastAsia="方正黑体_GBK" w:cs="方正黑体_GBK"/>
                                <w:bCs/>
                                <w:sz w:val="28"/>
                                <w:szCs w:val="28"/>
                              </w:rPr>
                              <w:t>拨付资金</w:t>
                            </w:r>
                          </w:p>
                        </w:txbxContent>
                      </wps:txbx>
                      <wps:bodyPr upright="1"/>
                    </wps:wsp>
                  </a:graphicData>
                </a:graphic>
              </wp:anchor>
            </w:drawing>
          </mc:Choice>
          <mc:Fallback>
            <w:pict>
              <v:shape id="_x0000_s1026" o:spid="_x0000_s1026" o:spt="109" type="#_x0000_t109" style="position:absolute;left:0pt;margin-left:319.5pt;margin-top:17.35pt;height:65.8pt;width:74.3pt;z-index:251663360;mso-width-relative:page;mso-height-relative:page;" fillcolor="#FFFFFF" filled="t" stroked="t" coordsize="21600,21600" o:gfxdata="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Mgf+3&#10;2gAAAAoBAAAPAAAAAAAAAAEAIAAAACIAAABkcnMvZG93bnJldi54bWxQSwECFAAUAAAACACHTuJA&#10;BKTVHh8CAABOBAAADgAAAAAAAAABACAAAAApAQAAZHJzL2Uyb0RvYy54bWxQSwUGAAAAAAYABgBZ&#10;AQAAugUAAAAA&#10;">
                <v:fill on="t" focussize="0,0"/>
                <v:stroke weight="2.25pt" color="#000000" joinstyle="miter"/>
                <v:imagedata o:title=""/>
                <o:lock v:ext="edit" aspectratio="f"/>
                <v:textbox>
                  <w:txbxContent>
                    <w:p>
                      <w:pPr>
                        <w:spacing w:line="300" w:lineRule="exact"/>
                        <w:rPr>
                          <w:rFonts w:hint="eastAsia" w:ascii="方正黑体_GBK" w:hAnsi="方正黑体_GBK" w:eastAsia="方正黑体_GBK" w:cs="方正黑体_GBK"/>
                          <w:b/>
                          <w:bCs/>
                          <w:sz w:val="28"/>
                          <w:szCs w:val="28"/>
                        </w:rPr>
                      </w:pPr>
                    </w:p>
                    <w:p>
                      <w:pPr>
                        <w:spacing w:line="300" w:lineRule="exact"/>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审议通过</w:t>
                      </w:r>
                    </w:p>
                    <w:p>
                      <w:pPr>
                        <w:pStyle w:val="2"/>
                        <w:spacing w:before="0" w:beforeAutospacing="0" w:after="0" w:afterAutospacing="0" w:line="300" w:lineRule="exact"/>
                        <w:rPr>
                          <w:rFonts w:hint="default"/>
                          <w:bCs/>
                          <w:sz w:val="28"/>
                          <w:szCs w:val="28"/>
                        </w:rPr>
                      </w:pPr>
                      <w:r>
                        <w:rPr>
                          <w:rFonts w:ascii="方正黑体_GBK" w:hAnsi="方正黑体_GBK" w:eastAsia="方正黑体_GBK" w:cs="方正黑体_GBK"/>
                          <w:bCs/>
                          <w:sz w:val="28"/>
                          <w:szCs w:val="28"/>
                        </w:rPr>
                        <w:t>拨付资金</w:t>
                      </w:r>
                    </w:p>
                  </w:txbxContent>
                </v:textbox>
              </v:shape>
            </w:pict>
          </mc:Fallback>
        </mc:AlternateContent>
      </w: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319405</wp:posOffset>
                </wp:positionH>
                <wp:positionV relativeFrom="paragraph">
                  <wp:posOffset>232410</wp:posOffset>
                </wp:positionV>
                <wp:extent cx="825500" cy="826770"/>
                <wp:effectExtent l="14605" t="13970" r="17145" b="16510"/>
                <wp:wrapNone/>
                <wp:docPr id="7" name="流程图: 过程 7"/>
                <wp:cNvGraphicFramePr/>
                <a:graphic xmlns:a="http://schemas.openxmlformats.org/drawingml/2006/main">
                  <a:graphicData uri="http://schemas.microsoft.com/office/word/2010/wordprocessingShape">
                    <wps:wsp>
                      <wps:cNvSpPr/>
                      <wps:spPr>
                        <a:xfrm>
                          <a:off x="0" y="0"/>
                          <a:ext cx="825500" cy="826770"/>
                        </a:xfrm>
                        <a:prstGeom prst="flowChartProcess">
                          <a:avLst/>
                        </a:prstGeom>
                        <a:solidFill>
                          <a:srgbClr val="FFFFFF"/>
                        </a:solidFill>
                        <a:ln w="28575" cap="flat" cmpd="sng">
                          <a:solidFill>
                            <a:srgbClr val="000000"/>
                          </a:solidFill>
                          <a:prstDash val="solid"/>
                          <a:miter/>
                          <a:headEnd type="none" w="med" len="med"/>
                          <a:tailEnd type="none" w="med" len="med"/>
                        </a:ln>
                        <a:effectLst/>
                      </wps:spPr>
                      <wps:txbx>
                        <w:txbxContent>
                          <w:p>
                            <w:pPr>
                              <w:spacing w:line="300" w:lineRule="exact"/>
                              <w:jc w:val="center"/>
                              <w:rPr>
                                <w:rFonts w:hint="eastAsia" w:ascii="方正黑体_GBK" w:hAnsi="方正黑体_GBK" w:eastAsia="方正黑体_GBK" w:cs="方正黑体_GBK"/>
                                <w:b/>
                                <w:bCs/>
                                <w:sz w:val="28"/>
                                <w:szCs w:val="28"/>
                              </w:rPr>
                            </w:pPr>
                          </w:p>
                          <w:p>
                            <w:pPr>
                              <w:spacing w:line="300" w:lineRule="exact"/>
                              <w:jc w:val="center"/>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提交</w:t>
                            </w:r>
                          </w:p>
                          <w:p>
                            <w:pPr>
                              <w:spacing w:line="300" w:lineRule="exact"/>
                              <w:jc w:val="center"/>
                              <w:rPr>
                                <w:rFonts w:hint="eastAsia" w:ascii="方正黑体_GBK" w:hAnsi="方正黑体_GBK" w:eastAsia="方正黑体_GBK" w:cs="方正黑体_GBK"/>
                                <w:b/>
                                <w:bCs/>
                                <w:sz w:val="24"/>
                              </w:rPr>
                            </w:pPr>
                            <w:r>
                              <w:rPr>
                                <w:rFonts w:hint="eastAsia" w:ascii="方正黑体_GBK" w:hAnsi="方正黑体_GBK" w:eastAsia="方正黑体_GBK" w:cs="方正黑体_GBK"/>
                                <w:b/>
                                <w:bCs/>
                                <w:sz w:val="28"/>
                                <w:szCs w:val="28"/>
                              </w:rPr>
                              <w:t>资料</w:t>
                            </w:r>
                          </w:p>
                        </w:txbxContent>
                      </wps:txbx>
                      <wps:bodyPr upright="1"/>
                    </wps:wsp>
                  </a:graphicData>
                </a:graphic>
              </wp:anchor>
            </w:drawing>
          </mc:Choice>
          <mc:Fallback>
            <w:pict>
              <v:shape id="_x0000_s1026" o:spid="_x0000_s1026" o:spt="109" type="#_x0000_t109" style="position:absolute;left:0pt;margin-left:25.15pt;margin-top:18.3pt;height:65.1pt;width:65pt;z-index:251660288;mso-width-relative:page;mso-height-relative:page;" fillcolor="#FFFFFF" filled="t" stroked="t" coordsize="21600,21600" o:gfxdata="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T+QzY1wAA&#10;AAkBAAAPAAAAAAAAAAEAIAAAACIAAABkcnMvZG93bnJldi54bWxQSwECFAAUAAAACACHTuJARdw/&#10;vB8CAABOBAAADgAAAAAAAAABACAAAAAmAQAAZHJzL2Uyb0RvYy54bWxQSwUGAAAAAAYABgBZAQAA&#10;twUAAAAA&#10;">
                <v:fill on="t" focussize="0,0"/>
                <v:stroke weight="2.25pt" color="#000000" joinstyle="miter"/>
                <v:imagedata o:title=""/>
                <o:lock v:ext="edit" aspectratio="f"/>
                <v:textbox>
                  <w:txbxContent>
                    <w:p>
                      <w:pPr>
                        <w:spacing w:line="300" w:lineRule="exact"/>
                        <w:jc w:val="center"/>
                        <w:rPr>
                          <w:rFonts w:hint="eastAsia" w:ascii="方正黑体_GBK" w:hAnsi="方正黑体_GBK" w:eastAsia="方正黑体_GBK" w:cs="方正黑体_GBK"/>
                          <w:b/>
                          <w:bCs/>
                          <w:sz w:val="28"/>
                          <w:szCs w:val="28"/>
                        </w:rPr>
                      </w:pPr>
                    </w:p>
                    <w:p>
                      <w:pPr>
                        <w:spacing w:line="300" w:lineRule="exact"/>
                        <w:jc w:val="center"/>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提交</w:t>
                      </w:r>
                    </w:p>
                    <w:p>
                      <w:pPr>
                        <w:spacing w:line="300" w:lineRule="exact"/>
                        <w:jc w:val="center"/>
                        <w:rPr>
                          <w:rFonts w:hint="eastAsia" w:ascii="方正黑体_GBK" w:hAnsi="方正黑体_GBK" w:eastAsia="方正黑体_GBK" w:cs="方正黑体_GBK"/>
                          <w:b/>
                          <w:bCs/>
                          <w:sz w:val="24"/>
                        </w:rPr>
                      </w:pPr>
                      <w:r>
                        <w:rPr>
                          <w:rFonts w:hint="eastAsia" w:ascii="方正黑体_GBK" w:hAnsi="方正黑体_GBK" w:eastAsia="方正黑体_GBK" w:cs="方正黑体_GBK"/>
                          <w:b/>
                          <w:bCs/>
                          <w:sz w:val="28"/>
                          <w:szCs w:val="28"/>
                        </w:rPr>
                        <w:t>资料</w:t>
                      </w:r>
                    </w:p>
                  </w:txbxContent>
                </v:textbox>
              </v:shape>
            </w:pict>
          </mc:Fallback>
        </mc:AlternateContent>
      </w: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1573530</wp:posOffset>
                </wp:positionH>
                <wp:positionV relativeFrom="paragraph">
                  <wp:posOffset>222250</wp:posOffset>
                </wp:positionV>
                <wp:extent cx="855980" cy="815975"/>
                <wp:effectExtent l="13970" t="13970" r="25400" b="27305"/>
                <wp:wrapNone/>
                <wp:docPr id="9" name="流程图: 过程 9"/>
                <wp:cNvGraphicFramePr/>
                <a:graphic xmlns:a="http://schemas.openxmlformats.org/drawingml/2006/main">
                  <a:graphicData uri="http://schemas.microsoft.com/office/word/2010/wordprocessingShape">
                    <wps:wsp>
                      <wps:cNvSpPr/>
                      <wps:spPr>
                        <a:xfrm>
                          <a:off x="0" y="0"/>
                          <a:ext cx="855980" cy="815975"/>
                        </a:xfrm>
                        <a:prstGeom prst="flowChartProcess">
                          <a:avLst/>
                        </a:prstGeom>
                        <a:solidFill>
                          <a:srgbClr val="FFFFFF"/>
                        </a:solidFill>
                        <a:ln w="28575" cap="flat" cmpd="sng">
                          <a:solidFill>
                            <a:srgbClr val="000000"/>
                          </a:solidFill>
                          <a:prstDash val="solid"/>
                          <a:miter/>
                          <a:headEnd type="none" w="med" len="med"/>
                          <a:tailEnd type="none" w="med" len="med"/>
                        </a:ln>
                        <a:effectLst/>
                      </wps:spPr>
                      <wps:txbx>
                        <w:txbxContent>
                          <w:p>
                            <w:pPr>
                              <w:spacing w:line="300" w:lineRule="exact"/>
                              <w:rPr>
                                <w:rFonts w:hint="eastAsia" w:ascii="方正黑体_GBK" w:hAnsi="方正黑体_GBK" w:eastAsia="方正黑体_GBK" w:cs="方正黑体_GBK"/>
                                <w:b/>
                                <w:bCs/>
                                <w:sz w:val="28"/>
                                <w:szCs w:val="28"/>
                              </w:rPr>
                            </w:pPr>
                          </w:p>
                          <w:p>
                            <w:pPr>
                              <w:spacing w:line="300" w:lineRule="exact"/>
                              <w:jc w:val="center"/>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初审</w:t>
                            </w:r>
                          </w:p>
                          <w:p>
                            <w:pPr>
                              <w:spacing w:line="300" w:lineRule="exact"/>
                              <w:jc w:val="center"/>
                              <w:rPr>
                                <w:rFonts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复核</w:t>
                            </w:r>
                          </w:p>
                        </w:txbxContent>
                      </wps:txbx>
                      <wps:bodyPr upright="1"/>
                    </wps:wsp>
                  </a:graphicData>
                </a:graphic>
              </wp:anchor>
            </w:drawing>
          </mc:Choice>
          <mc:Fallback>
            <w:pict>
              <v:shape id="_x0000_s1026" o:spid="_x0000_s1026" o:spt="109" type="#_x0000_t109" style="position:absolute;left:0pt;margin-left:123.9pt;margin-top:17.5pt;height:64.25pt;width:67.4pt;z-index:251661312;mso-width-relative:page;mso-height-relative:page;" fillcolor="#FFFFFF" filled="t" stroked="t" coordsize="21600,21600" o:gfxdata="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I2wC9kAAAAK&#10;AQAADwAAAAAAAAABACAAAAAiAAAAZHJzL2Rvd25yZXYueG1sUEsBAhQAFAAAAAgAh07iQF8aMF8b&#10;AgAATgQAAA4AAAAAAAAAAQAgAAAAKAEAAGRycy9lMm9Eb2MueG1sUEsFBgAAAAAGAAYAWQEAALUF&#10;AAAAAA==&#10;">
                <v:fill on="t" focussize="0,0"/>
                <v:stroke weight="2.25pt" color="#000000" joinstyle="miter"/>
                <v:imagedata o:title=""/>
                <o:lock v:ext="edit" aspectratio="f"/>
                <v:textbox>
                  <w:txbxContent>
                    <w:p>
                      <w:pPr>
                        <w:spacing w:line="300" w:lineRule="exact"/>
                        <w:rPr>
                          <w:rFonts w:hint="eastAsia" w:ascii="方正黑体_GBK" w:hAnsi="方正黑体_GBK" w:eastAsia="方正黑体_GBK" w:cs="方正黑体_GBK"/>
                          <w:b/>
                          <w:bCs/>
                          <w:sz w:val="28"/>
                          <w:szCs w:val="28"/>
                        </w:rPr>
                      </w:pPr>
                    </w:p>
                    <w:p>
                      <w:pPr>
                        <w:spacing w:line="300" w:lineRule="exact"/>
                        <w:jc w:val="center"/>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初审</w:t>
                      </w:r>
                    </w:p>
                    <w:p>
                      <w:pPr>
                        <w:spacing w:line="300" w:lineRule="exact"/>
                        <w:jc w:val="center"/>
                        <w:rPr>
                          <w:rFonts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复核</w:t>
                      </w:r>
                    </w:p>
                  </w:txbxContent>
                </v:textbox>
              </v:shape>
            </w:pict>
          </mc:Fallback>
        </mc:AlternateContent>
      </w:r>
      <w:r>
        <w:rPr>
          <w:color w:val="auto"/>
          <w:sz w:val="32"/>
        </w:rPr>
        <mc:AlternateContent>
          <mc:Choice Requires="wps">
            <w:drawing>
              <wp:anchor distT="0" distB="0" distL="114300" distR="114300" simplePos="0" relativeHeight="251659264" behindDoc="1" locked="0" layoutInCell="1" allowOverlap="1">
                <wp:simplePos x="0" y="0"/>
                <wp:positionH relativeFrom="column">
                  <wp:posOffset>-203200</wp:posOffset>
                </wp:positionH>
                <wp:positionV relativeFrom="paragraph">
                  <wp:posOffset>231140</wp:posOffset>
                </wp:positionV>
                <wp:extent cx="794385" cy="803275"/>
                <wp:effectExtent l="14605" t="13970" r="29210" b="20955"/>
                <wp:wrapTight wrapText="bothSides">
                  <wp:wrapPolygon>
                    <wp:start x="-397" y="-376"/>
                    <wp:lineTo x="-397" y="21651"/>
                    <wp:lineTo x="21358" y="21651"/>
                    <wp:lineTo x="21358" y="-376"/>
                    <wp:lineTo x="-397" y="-376"/>
                  </wp:wrapPolygon>
                </wp:wrapTight>
                <wp:docPr id="11" name="流程图: 过程 11"/>
                <wp:cNvGraphicFramePr/>
                <a:graphic xmlns:a="http://schemas.openxmlformats.org/drawingml/2006/main">
                  <a:graphicData uri="http://schemas.microsoft.com/office/word/2010/wordprocessingShape">
                    <wps:wsp>
                      <wps:cNvSpPr/>
                      <wps:spPr>
                        <a:xfrm>
                          <a:off x="0" y="0"/>
                          <a:ext cx="794385" cy="803275"/>
                        </a:xfrm>
                        <a:prstGeom prst="flowChartProcess">
                          <a:avLst/>
                        </a:prstGeom>
                        <a:solidFill>
                          <a:srgbClr val="FFFFFF"/>
                        </a:solidFill>
                        <a:ln w="28575" cap="flat" cmpd="sng">
                          <a:solidFill>
                            <a:srgbClr val="000000"/>
                          </a:solidFill>
                          <a:prstDash val="solid"/>
                          <a:miter/>
                          <a:headEnd type="none" w="med" len="med"/>
                          <a:tailEnd type="none" w="med" len="med"/>
                        </a:ln>
                        <a:effectLst/>
                      </wps:spPr>
                      <wps:txbx>
                        <w:txbxContent>
                          <w:p>
                            <w:pPr>
                              <w:spacing w:line="300" w:lineRule="exact"/>
                              <w:jc w:val="center"/>
                              <w:rPr>
                                <w:rFonts w:hint="eastAsia" w:ascii="方正黑体_GBK" w:hAnsi="方正黑体_GBK" w:eastAsia="方正黑体_GBK" w:cs="方正黑体_GBK"/>
                                <w:b/>
                                <w:bCs/>
                                <w:sz w:val="28"/>
                                <w:szCs w:val="28"/>
                              </w:rPr>
                            </w:pPr>
                          </w:p>
                          <w:p>
                            <w:pPr>
                              <w:spacing w:line="300" w:lineRule="exact"/>
                              <w:jc w:val="center"/>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发布申报通知</w:t>
                            </w:r>
                          </w:p>
                        </w:txbxContent>
                      </wps:txbx>
                      <wps:bodyPr upright="1"/>
                    </wps:wsp>
                  </a:graphicData>
                </a:graphic>
              </wp:anchor>
            </w:drawing>
          </mc:Choice>
          <mc:Fallback>
            <w:pict>
              <v:shape id="_x0000_s1026" o:spid="_x0000_s1026" o:spt="109" type="#_x0000_t109" style="position:absolute;left:0pt;margin-left:-16pt;margin-top:18.2pt;height:63.25pt;width:62.55pt;mso-wrap-distance-left:9pt;mso-wrap-distance-right:9pt;z-index:-251657216;mso-width-relative:page;mso-height-relative:page;" fillcolor="#FFFFFF" filled="t" stroked="t" coordsize="21600,21600" wrapcoords="-397 -376 -397 21651 21358 21651 21358 -376 -397 -376" o:gfxdata="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mNlD3YAAAA&#10;CQEAAA8AAAAAAAAAAQAgAAAAIgAAAGRycy9kb3ducmV2LnhtbFBLAQIUABQAAAAIAIdO4kDSOkgV&#10;HQIAAFAEAAAOAAAAAAAAAAEAIAAAACcBAABkcnMvZTJvRG9jLnhtbFBLBQYAAAAABgAGAFkBAAC2&#10;BQAAAAA=&#10;">
                <v:fill on="t" focussize="0,0"/>
                <v:stroke weight="2.25pt" color="#000000" joinstyle="miter"/>
                <v:imagedata o:title=""/>
                <o:lock v:ext="edit" aspectratio="f"/>
                <v:textbox>
                  <w:txbxContent>
                    <w:p>
                      <w:pPr>
                        <w:spacing w:line="300" w:lineRule="exact"/>
                        <w:jc w:val="center"/>
                        <w:rPr>
                          <w:rFonts w:hint="eastAsia" w:ascii="方正黑体_GBK" w:hAnsi="方正黑体_GBK" w:eastAsia="方正黑体_GBK" w:cs="方正黑体_GBK"/>
                          <w:b/>
                          <w:bCs/>
                          <w:sz w:val="28"/>
                          <w:szCs w:val="28"/>
                        </w:rPr>
                      </w:pPr>
                    </w:p>
                    <w:p>
                      <w:pPr>
                        <w:spacing w:line="300" w:lineRule="exact"/>
                        <w:jc w:val="center"/>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发布申报通知</w:t>
                      </w:r>
                    </w:p>
                  </w:txbxContent>
                </v:textbox>
                <w10:wrap type="tight"/>
              </v:shape>
            </w:pict>
          </mc:Fallback>
        </mc:AlternateContent>
      </w:r>
    </w:p>
    <w:p>
      <w:pPr>
        <w:adjustRightInd w:val="0"/>
        <w:snapToGrid w:val="0"/>
        <w:spacing w:line="579" w:lineRule="exact"/>
        <w:rPr>
          <w:rFonts w:hint="eastAsia" w:ascii="Times New Roman" w:hAnsi="Times New Roman" w:eastAsia="方正仿宋_GBK"/>
          <w:color w:val="auto"/>
          <w:sz w:val="32"/>
          <w:szCs w:val="32"/>
        </w:rPr>
      </w:pPr>
      <w:r>
        <w:rPr>
          <w:color w:val="auto"/>
          <w:sz w:val="32"/>
        </w:rPr>
        <mc:AlternateContent>
          <mc:Choice Requires="wps">
            <w:drawing>
              <wp:anchor distT="0" distB="0" distL="114300" distR="114300" simplePos="0" relativeHeight="251666432" behindDoc="0" locked="0" layoutInCell="1" allowOverlap="1">
                <wp:simplePos x="0" y="0"/>
                <wp:positionH relativeFrom="column">
                  <wp:posOffset>2465070</wp:posOffset>
                </wp:positionH>
                <wp:positionV relativeFrom="paragraph">
                  <wp:posOffset>196215</wp:posOffset>
                </wp:positionV>
                <wp:extent cx="317500" cy="75565"/>
                <wp:effectExtent l="5080" t="7620" r="20320" b="12065"/>
                <wp:wrapNone/>
                <wp:docPr id="12" name="右箭头 12"/>
                <wp:cNvGraphicFramePr/>
                <a:graphic xmlns:a="http://schemas.openxmlformats.org/drawingml/2006/main">
                  <a:graphicData uri="http://schemas.microsoft.com/office/word/2010/wordprocessingShape">
                    <wps:wsp>
                      <wps:cNvSpPr/>
                      <wps:spPr>
                        <a:xfrm>
                          <a:off x="0" y="0"/>
                          <a:ext cx="317500" cy="75565"/>
                        </a:xfrm>
                        <a:prstGeom prst="rightArrow">
                          <a:avLst>
                            <a:gd name="adj1" fmla="val 50000"/>
                            <a:gd name="adj2" fmla="val 105042"/>
                          </a:avLst>
                        </a:prstGeom>
                        <a:solidFill>
                          <a:srgbClr val="B7DEE8"/>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194.1pt;margin-top:15.45pt;height:5.95pt;width:25pt;z-index:251666432;mso-width-relative:page;mso-height-relative:page;" fillcolor="#B7DEE8" filled="t" stroked="t" coordsize="21600,21600" o:gfxdata="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l7mx1wAAAAkBAAAPAAAAAAAAAAEAIAAAACIAAABkcnMvZG93bnJldi54bWxQ&#10;SwECFAAUAAAACACHTuJA5aZnWjECAACHBAAADgAAAAAAAAABACAAAAAmAQAAZHJzL2Uyb0RvYy54&#10;bWxQSwUGAAAAAAYABgBZAQAAyQUAAAAA&#10;" adj="16201,5400">
                <v:fill on="t" focussize="0,0"/>
                <v:stroke color="#000000" joinstyle="miter"/>
                <v:imagedata o:title=""/>
                <o:lock v:ext="edit" aspectratio="f"/>
              </v:shape>
            </w:pict>
          </mc:Fallback>
        </mc:AlternateContent>
      </w:r>
      <w:r>
        <w:rPr>
          <w:color w:val="auto"/>
          <w:sz w:val="32"/>
        </w:rPr>
        <mc:AlternateContent>
          <mc:Choice Requires="wps">
            <w:drawing>
              <wp:anchor distT="0" distB="0" distL="114300" distR="114300" simplePos="0" relativeHeight="251664384" behindDoc="0" locked="0" layoutInCell="1" allowOverlap="1">
                <wp:simplePos x="0" y="0"/>
                <wp:positionH relativeFrom="column">
                  <wp:posOffset>-62865</wp:posOffset>
                </wp:positionH>
                <wp:positionV relativeFrom="paragraph">
                  <wp:posOffset>189230</wp:posOffset>
                </wp:positionV>
                <wp:extent cx="317500" cy="75565"/>
                <wp:effectExtent l="5080" t="7620" r="20320" b="12065"/>
                <wp:wrapNone/>
                <wp:docPr id="13" name="右箭头 13"/>
                <wp:cNvGraphicFramePr/>
                <a:graphic xmlns:a="http://schemas.openxmlformats.org/drawingml/2006/main">
                  <a:graphicData uri="http://schemas.microsoft.com/office/word/2010/wordprocessingShape">
                    <wps:wsp>
                      <wps:cNvSpPr/>
                      <wps:spPr>
                        <a:xfrm>
                          <a:off x="0" y="0"/>
                          <a:ext cx="317500" cy="75565"/>
                        </a:xfrm>
                        <a:prstGeom prst="rightArrow">
                          <a:avLst>
                            <a:gd name="adj1" fmla="val 50000"/>
                            <a:gd name="adj2" fmla="val 105042"/>
                          </a:avLst>
                        </a:prstGeom>
                        <a:solidFill>
                          <a:srgbClr val="B7DEE8"/>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4.95pt;margin-top:14.9pt;height:5.95pt;width:25pt;z-index:251664384;mso-width-relative:page;mso-height-relative:page;" fillcolor="#B7DEE8" filled="t" stroked="t" coordsize="21600,21600" o:gfxdata="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78CDm1wAAAAcBAAAPAAAAAAAAAAEAIAAAACIAAABkcnMvZG93bnJldi54bWxQ&#10;SwECFAAUAAAACACHTuJAtprk3jECAACHBAAADgAAAAAAAAABACAAAAAmAQAAZHJzL2Uyb0RvYy54&#10;bWxQSwUGAAAAAAYABgBZAQAAyQUAAAAA&#10;" adj="16201,5400">
                <v:fill on="t" focussize="0,0"/>
                <v:stroke color="#000000" joinstyle="miter"/>
                <v:imagedata o:title=""/>
                <o:lock v:ext="edit" aspectratio="f"/>
              </v:shape>
            </w:pict>
          </mc:Fallback>
        </mc:AlternateContent>
      </w:r>
      <w:r>
        <w:rPr>
          <w:color w:val="auto"/>
          <w:sz w:val="32"/>
        </w:rPr>
        <mc:AlternateContent>
          <mc:Choice Requires="wps">
            <w:drawing>
              <wp:anchor distT="0" distB="0" distL="114300" distR="114300" simplePos="0" relativeHeight="251665408" behindDoc="0" locked="0" layoutInCell="1" allowOverlap="1">
                <wp:simplePos x="0" y="0"/>
                <wp:positionH relativeFrom="column">
                  <wp:posOffset>1233170</wp:posOffset>
                </wp:positionH>
                <wp:positionV relativeFrom="paragraph">
                  <wp:posOffset>170815</wp:posOffset>
                </wp:positionV>
                <wp:extent cx="317500" cy="75565"/>
                <wp:effectExtent l="5080" t="7620" r="20320" b="12065"/>
                <wp:wrapNone/>
                <wp:docPr id="14" name="右箭头 14"/>
                <wp:cNvGraphicFramePr/>
                <a:graphic xmlns:a="http://schemas.openxmlformats.org/drawingml/2006/main">
                  <a:graphicData uri="http://schemas.microsoft.com/office/word/2010/wordprocessingShape">
                    <wps:wsp>
                      <wps:cNvSpPr/>
                      <wps:spPr>
                        <a:xfrm>
                          <a:off x="0" y="0"/>
                          <a:ext cx="317500" cy="75565"/>
                        </a:xfrm>
                        <a:prstGeom prst="rightArrow">
                          <a:avLst>
                            <a:gd name="adj1" fmla="val 50000"/>
                            <a:gd name="adj2" fmla="val 105042"/>
                          </a:avLst>
                        </a:prstGeom>
                        <a:solidFill>
                          <a:srgbClr val="B7DEE8"/>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97.1pt;margin-top:13.45pt;height:5.95pt;width:25pt;z-index:251665408;mso-width-relative:page;mso-height-relative:page;" fillcolor="#B7DEE8" filled="t" stroked="t" coordsize="21600,21600" o:gfxdata="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cGkuU1wAAAAkBAAAPAAAAAAAAAAEAIAAAACIAAABkcnMvZG93bnJldi54bWxQ&#10;SwECFAAUAAAACACHTuJAjSOP9zECAACHBAAADgAAAAAAAAABACAAAAAmAQAAZHJzL2Uyb0RvYy54&#10;bWxQSwUGAAAAAAYABgBZAQAAyQUAAAAA&#10;" adj="16201,5400">
                <v:fill on="t" focussize="0,0"/>
                <v:stroke color="#000000" joinstyle="miter"/>
                <v:imagedata o:title=""/>
                <o:lock v:ext="edit" aspectratio="f"/>
              </v:shape>
            </w:pict>
          </mc:Fallback>
        </mc:AlternateContent>
      </w:r>
      <w:r>
        <w:rPr>
          <w:color w:val="auto"/>
          <w:sz w:val="32"/>
        </w:rPr>
        <mc:AlternateContent>
          <mc:Choice Requires="wps">
            <w:drawing>
              <wp:anchor distT="0" distB="0" distL="114300" distR="114300" simplePos="0" relativeHeight="251667456" behindDoc="0" locked="0" layoutInCell="1" allowOverlap="1">
                <wp:simplePos x="0" y="0"/>
                <wp:positionH relativeFrom="column">
                  <wp:posOffset>3685540</wp:posOffset>
                </wp:positionH>
                <wp:positionV relativeFrom="paragraph">
                  <wp:posOffset>190500</wp:posOffset>
                </wp:positionV>
                <wp:extent cx="317500" cy="75565"/>
                <wp:effectExtent l="5080" t="7620" r="20320" b="12065"/>
                <wp:wrapNone/>
                <wp:docPr id="15" name="右箭头 15"/>
                <wp:cNvGraphicFramePr/>
                <a:graphic xmlns:a="http://schemas.openxmlformats.org/drawingml/2006/main">
                  <a:graphicData uri="http://schemas.microsoft.com/office/word/2010/wordprocessingShape">
                    <wps:wsp>
                      <wps:cNvSpPr/>
                      <wps:spPr>
                        <a:xfrm>
                          <a:off x="0" y="0"/>
                          <a:ext cx="317500" cy="75565"/>
                        </a:xfrm>
                        <a:prstGeom prst="rightArrow">
                          <a:avLst>
                            <a:gd name="adj1" fmla="val 50000"/>
                            <a:gd name="adj2" fmla="val 105042"/>
                          </a:avLst>
                        </a:prstGeom>
                        <a:solidFill>
                          <a:srgbClr val="B7DEE8"/>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290.2pt;margin-top:15pt;height:5.95pt;width:25pt;z-index:251667456;mso-width-relative:page;mso-height-relative:page;" fillcolor="#B7DEE8" filled="t" stroked="t" coordsize="21600,21600" o:gfxdata="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msWSp1wAAAAkBAAAPAAAAAAAAAAEAIAAAACIAAABkcnMvZG93bnJldi54bWxQ&#10;SwECFAAUAAAACACHTuJA3h8MczECAACHBAAADgAAAAAAAAABACAAAAAmAQAAZHJzL2Uyb0RvYy54&#10;bWxQSwUGAAAAAAYABgBZAQAAyQUAAAAA&#10;" adj="16201,5400">
                <v:fill on="t" focussize="0,0"/>
                <v:stroke color="#000000" joinstyle="miter"/>
                <v:imagedata o:title=""/>
                <o:lock v:ext="edit" aspectratio="f"/>
              </v:shape>
            </w:pict>
          </mc:Fallback>
        </mc:AlternateContent>
      </w:r>
    </w:p>
    <w:p>
      <w:pPr>
        <w:adjustRightInd w:val="0"/>
        <w:snapToGrid w:val="0"/>
        <w:spacing w:line="579" w:lineRule="exact"/>
        <w:rPr>
          <w:rFonts w:hint="eastAsia" w:ascii="Times New Roman" w:hAnsi="Times New Roman" w:eastAsia="方正仿宋_GBK"/>
          <w:color w:val="auto"/>
          <w:sz w:val="32"/>
          <w:szCs w:val="32"/>
        </w:rPr>
      </w:pPr>
    </w:p>
    <w:p>
      <w:pPr>
        <w:numPr>
          <w:ilvl w:val="0"/>
          <w:numId w:val="3"/>
        </w:numPr>
        <w:adjustRightInd w:val="0"/>
        <w:snapToGrid w:val="0"/>
        <w:spacing w:line="579" w:lineRule="exact"/>
        <w:rPr>
          <w:rFonts w:hint="eastAsia" w:ascii="Times New Roman" w:hAnsi="Times New Roman" w:eastAsia="方正黑体_GBK"/>
          <w:color w:val="auto"/>
          <w:sz w:val="32"/>
          <w:szCs w:val="32"/>
        </w:rPr>
      </w:pPr>
      <w:r>
        <w:rPr>
          <w:rFonts w:hint="eastAsia" w:ascii="Times New Roman" w:hAnsi="Times New Roman" w:eastAsia="方正黑体_GBK"/>
          <w:color w:val="auto"/>
          <w:sz w:val="32"/>
          <w:szCs w:val="32"/>
        </w:rPr>
        <w:t>申报内容</w:t>
      </w:r>
    </w:p>
    <w:p>
      <w:pPr>
        <w:spacing w:line="594" w:lineRule="exact"/>
        <w:ind w:firstLine="640" w:firstLineChars="200"/>
        <w:rPr>
          <w:rFonts w:hint="eastAsia"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kern w:val="0"/>
          <w:sz w:val="32"/>
          <w:szCs w:val="32"/>
        </w:rPr>
        <w:t>（一）支持国家级创新平台聚集</w:t>
      </w:r>
    </w:p>
    <w:p>
      <w:pPr>
        <w:spacing w:line="594" w:lineRule="exact"/>
        <w:ind w:firstLine="640" w:firstLineChars="200"/>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对新认定的国家重点实验室、国家工程研究中心、国家技术创新中心等国家科技创新基地给予一次性200万元建设后补助，对新认定的</w:t>
      </w:r>
      <w:r>
        <w:rPr>
          <w:rFonts w:hint="eastAsia" w:ascii="Times New Roman" w:hAnsi="Times New Roman" w:eastAsia="方正仿宋_GBK"/>
          <w:color w:val="auto"/>
          <w:sz w:val="32"/>
          <w:szCs w:val="32"/>
        </w:rPr>
        <w:t>市级重点实验室、工程研究中心、技术创新中心等市级研发平台给予一次性10万元补助</w:t>
      </w:r>
      <w:r>
        <w:rPr>
          <w:rFonts w:hint="eastAsia" w:ascii="Times New Roman" w:hAnsi="Times New Roman" w:eastAsia="方正仿宋_GBK"/>
          <w:color w:val="auto"/>
          <w:kern w:val="0"/>
          <w:sz w:val="32"/>
          <w:szCs w:val="32"/>
        </w:rPr>
        <w:t>。对国家重点实验室每年给予600万元稳定支持经费。根据科技部每轮评估结果给予国家重点实验室一次性激励经费支持，评估结果为优秀的给予500万元、良好的给予200万元激励经费。</w:t>
      </w:r>
    </w:p>
    <w:p>
      <w:pPr>
        <w:spacing w:line="594" w:lineRule="exact"/>
        <w:ind w:firstLine="640" w:firstLineChars="200"/>
        <w:rPr>
          <w:rFonts w:hint="eastAsia" w:ascii="方正楷体_GBK" w:hAnsi="方正楷体_GBK" w:eastAsia="方正楷体_GBK" w:cs="方正楷体_GBK"/>
          <w:color w:val="auto"/>
          <w:kern w:val="0"/>
          <w:sz w:val="32"/>
          <w:szCs w:val="32"/>
        </w:rPr>
      </w:pPr>
      <w:r>
        <w:rPr>
          <w:rFonts w:hint="eastAsia" w:ascii="方正仿宋_GBK" w:hAnsi="方正仿宋_GBK" w:eastAsia="方正仿宋_GBK" w:cs="方正仿宋_GBK"/>
          <w:color w:val="auto"/>
          <w:sz w:val="32"/>
          <w:szCs w:val="32"/>
        </w:rPr>
        <w:t>（</w:t>
      </w:r>
      <w:r>
        <w:rPr>
          <w:rFonts w:hint="eastAsia" w:ascii="方正楷体_GBK" w:hAnsi="方正楷体_GBK" w:eastAsia="方正楷体_GBK" w:cs="方正楷体_GBK"/>
          <w:color w:val="auto"/>
          <w:kern w:val="0"/>
          <w:sz w:val="32"/>
          <w:szCs w:val="32"/>
        </w:rPr>
        <w:t>二）发展新型高端研发机构</w:t>
      </w:r>
    </w:p>
    <w:p>
      <w:pPr>
        <w:pStyle w:val="10"/>
        <w:spacing w:before="0" w:after="0" w:line="594" w:lineRule="exact"/>
        <w:ind w:firstLine="640" w:firstLineChars="200"/>
        <w:jc w:val="both"/>
        <w:rPr>
          <w:rFonts w:hint="eastAsia" w:ascii="方正仿宋_GBK" w:hAnsi="方正仿宋_GBK" w:eastAsia="方正仿宋_GBK" w:cs="方正仿宋_GBK"/>
          <w:b w:val="0"/>
          <w:bCs w:val="0"/>
          <w:color w:val="auto"/>
          <w:sz w:val="32"/>
        </w:rPr>
      </w:pPr>
      <w:r>
        <w:rPr>
          <w:rFonts w:ascii="Times New Roman" w:hAnsi="Times New Roman" w:eastAsia="方正仿宋_GBK"/>
          <w:b w:val="0"/>
          <w:bCs w:val="0"/>
          <w:color w:val="auto"/>
          <w:sz w:val="32"/>
        </w:rPr>
        <w:t xml:space="preserve">对符合我区重点产业发展方向和国家绿色产业示范基地建设需求的独立法人新型研发机构和高端研发机构，经市级科技主管部门新评审认定的，按照市级补助到位资金的50%配套补助，单个机构累计补助最高500万元。   </w:t>
      </w:r>
      <w:r>
        <w:rPr>
          <w:rFonts w:hint="eastAsia" w:ascii="方正仿宋_GBK" w:hAnsi="方正仿宋_GBK" w:eastAsia="方正仿宋_GBK" w:cs="方正仿宋_GBK"/>
          <w:b w:val="0"/>
          <w:bCs w:val="0"/>
          <w:color w:val="auto"/>
          <w:sz w:val="32"/>
        </w:rPr>
        <w:t xml:space="preserve"> </w:t>
      </w:r>
    </w:p>
    <w:p>
      <w:pPr>
        <w:spacing w:line="594" w:lineRule="exact"/>
        <w:ind w:firstLine="640" w:firstLineChars="200"/>
        <w:rPr>
          <w:rFonts w:hint="eastAsia"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kern w:val="0"/>
          <w:sz w:val="32"/>
          <w:szCs w:val="32"/>
        </w:rPr>
        <w:t>（三）鼓励承接国家重大科技计划项目</w:t>
      </w:r>
    </w:p>
    <w:p>
      <w:pPr>
        <w:spacing w:line="594" w:lineRule="exact"/>
        <w:ind w:firstLine="640" w:firstLineChars="200"/>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鼓励企业积极争取人工智能、大数据、智能制造、生态环保等前瞻性、战略性国家级科技专项。对牵头承担国家科技重大专项和重点研发计划的企业，根据项目合同实施进展绩效，按项目上年实际分配到位的国拨经费的3%奖励研发团队，给予单个项目最高100万元、单户企业每年最高300万元奖励。</w:t>
      </w:r>
    </w:p>
    <w:p>
      <w:pPr>
        <w:spacing w:line="594" w:lineRule="exact"/>
        <w:ind w:firstLine="640" w:firstLineChars="200"/>
        <w:rPr>
          <w:rFonts w:hint="eastAsia"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kern w:val="0"/>
          <w:sz w:val="32"/>
          <w:szCs w:val="32"/>
        </w:rPr>
        <w:t>（四）提升高校创新能力</w:t>
      </w:r>
    </w:p>
    <w:p>
      <w:pPr>
        <w:adjustRightInd w:val="0"/>
        <w:snapToGrid w:val="0"/>
        <w:spacing w:line="594" w:lineRule="exact"/>
        <w:ind w:firstLine="640" w:firstLineChars="200"/>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鼓励市级及以上科技企业孵化器、国家备案众创空间与区内高校联合举办科技成果转化、投融资对接、创新创业大赛等双创活动，给予同一平台当年活动实际支出的30%补助</w:t>
      </w:r>
      <w:r>
        <w:rPr>
          <w:rFonts w:hint="eastAsia" w:eastAsia="方正仿宋_GBK"/>
          <w:color w:val="auto"/>
          <w:kern w:val="0"/>
          <w:sz w:val="32"/>
          <w:szCs w:val="32"/>
        </w:rPr>
        <w:t>，单个平台每年</w:t>
      </w:r>
      <w:r>
        <w:rPr>
          <w:rFonts w:hint="eastAsia" w:ascii="Times New Roman" w:hAnsi="Times New Roman" w:eastAsia="方正仿宋_GBK"/>
          <w:color w:val="auto"/>
          <w:kern w:val="0"/>
          <w:sz w:val="32"/>
          <w:szCs w:val="32"/>
        </w:rPr>
        <w:t>最高</w:t>
      </w:r>
      <w:r>
        <w:rPr>
          <w:rFonts w:hint="eastAsia" w:eastAsia="方正仿宋_GBK"/>
          <w:color w:val="auto"/>
          <w:kern w:val="0"/>
          <w:sz w:val="32"/>
          <w:szCs w:val="32"/>
        </w:rPr>
        <w:t>补助</w:t>
      </w:r>
      <w:r>
        <w:rPr>
          <w:rFonts w:hint="eastAsia" w:ascii="Times New Roman" w:hAnsi="Times New Roman" w:eastAsia="方正仿宋_GBK"/>
          <w:color w:val="auto"/>
          <w:kern w:val="0"/>
          <w:sz w:val="32"/>
          <w:szCs w:val="32"/>
        </w:rPr>
        <w:t>10万元。</w:t>
      </w:r>
      <w:r>
        <w:rPr>
          <w:rFonts w:hint="eastAsia" w:ascii="Times New Roman" w:hAnsi="Times New Roman" w:eastAsia="方正仿宋_GBK"/>
          <w:color w:val="auto"/>
          <w:sz w:val="32"/>
          <w:szCs w:val="32"/>
        </w:rPr>
        <w:t>鼓励市级及以上科技企业孵化器、国家备案众创空间与区内高校联合孵化科技成果转化项目、创新创业项目，对入驻上述平台</w:t>
      </w:r>
      <w:r>
        <w:rPr>
          <w:rFonts w:ascii="Times New Roman" w:hAnsi="Times New Roman" w:eastAsia="方正仿宋_GBK"/>
          <w:color w:val="auto"/>
          <w:sz w:val="32"/>
          <w:szCs w:val="32"/>
        </w:rPr>
        <w:t>3年</w:t>
      </w:r>
      <w:r>
        <w:rPr>
          <w:rFonts w:hint="eastAsia" w:ascii="Times New Roman" w:hAnsi="Times New Roman" w:eastAsia="方正仿宋_GBK"/>
          <w:color w:val="auto"/>
          <w:sz w:val="32"/>
          <w:szCs w:val="32"/>
        </w:rPr>
        <w:t>以内的高校项目按平台运营机构基本服务收费50%、同一项目累计不超过5万元补助</w:t>
      </w:r>
      <w:r>
        <w:rPr>
          <w:rFonts w:hint="eastAsia" w:ascii="Times New Roman" w:hAnsi="Times New Roman" w:eastAsia="方正仿宋_GBK"/>
          <w:color w:val="auto"/>
          <w:kern w:val="0"/>
          <w:sz w:val="32"/>
          <w:szCs w:val="32"/>
        </w:rPr>
        <w:t>。</w:t>
      </w:r>
    </w:p>
    <w:p>
      <w:pPr>
        <w:spacing w:line="594" w:lineRule="exact"/>
        <w:ind w:firstLine="640" w:firstLineChars="200"/>
        <w:rPr>
          <w:rFonts w:hint="eastAsia"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kern w:val="0"/>
          <w:sz w:val="32"/>
          <w:szCs w:val="32"/>
        </w:rPr>
        <w:t>（五）鼓励企业加大研发投入</w:t>
      </w:r>
    </w:p>
    <w:p>
      <w:pPr>
        <w:spacing w:line="594" w:lineRule="exact"/>
        <w:ind w:firstLine="640" w:firstLineChars="200"/>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对新入库的科技型企业和享受我市企业研发准备金补助支持范围以外的规模以上科技型企业，按研发费用存量不高于3%、增量不高于10%的比例给予补助，具体补助比例根据年度资金预算和企业申报情况确定，单个企业每年补助不超过100万元。</w:t>
      </w:r>
    </w:p>
    <w:p>
      <w:pPr>
        <w:spacing w:line="594" w:lineRule="exact"/>
        <w:ind w:firstLine="420" w:firstLineChars="200"/>
        <w:rPr>
          <w:rFonts w:hint="eastAsia" w:ascii="方正黑体_GBK" w:hAnsi="方正黑体_GBK" w:eastAsia="方正黑体_GBK" w:cs="方正黑体_GBK"/>
          <w:color w:val="auto"/>
          <w:sz w:val="32"/>
          <w:szCs w:val="32"/>
        </w:rPr>
      </w:pPr>
      <w:r>
        <w:rPr>
          <w:rFonts w:hint="eastAsia"/>
          <w:color w:val="auto"/>
        </w:rPr>
        <w:t xml:space="preserve">  </w:t>
      </w:r>
      <w:r>
        <w:rPr>
          <w:rFonts w:hint="eastAsia" w:ascii="方正楷体_GBK" w:hAnsi="方正楷体_GBK" w:eastAsia="方正楷体_GBK" w:cs="方正楷体_GBK"/>
          <w:color w:val="auto"/>
          <w:kern w:val="0"/>
          <w:sz w:val="32"/>
          <w:szCs w:val="32"/>
        </w:rPr>
        <w:t>（六）实施高新技术企业倍增工程</w:t>
      </w:r>
    </w:p>
    <w:p>
      <w:pPr>
        <w:spacing w:line="594" w:lineRule="exact"/>
        <w:ind w:firstLine="640" w:firstLineChars="200"/>
        <w:rPr>
          <w:rFonts w:hint="eastAsia" w:ascii="Times New Roman" w:hAnsi="Times New Roman" w:eastAsia="方正仿宋_GBK"/>
          <w:color w:val="auto"/>
          <w:sz w:val="32"/>
          <w:szCs w:val="32"/>
        </w:rPr>
      </w:pPr>
      <w:r>
        <w:rPr>
          <w:rFonts w:hint="eastAsia" w:ascii="Times New Roman" w:hAnsi="Times New Roman" w:eastAsia="方正仿宋_GBK"/>
          <w:color w:val="auto"/>
          <w:kern w:val="0"/>
          <w:sz w:val="32"/>
          <w:szCs w:val="32"/>
        </w:rPr>
        <w:t>对首次通过认定的高新技术企业给予规模以上20万元、规模以下15万元的一次性奖励，对通过复审的高新技术企业给予5万元补助，其中连续通过复审的高新技术企业给予10万元补助，对有效期内首次“升规上限”的高新技术企业给予5万元补助，对迁入并通过南岸区、重庆经开区首次推荐认定的高新技术企业，按照首次认定标准执行。鼓励科技服务机构提高科技型企业入库和高新技术企业认定服务质量，对当年完成科技型企业首次审核入库达到10家、高新技术企业首次认定达到2家及以上的，按新入库1户科技型企业1000元、新认定1户高新技术企业2万元标准给予绩效奖励。</w:t>
      </w:r>
    </w:p>
    <w:p>
      <w:pPr>
        <w:spacing w:line="594" w:lineRule="exact"/>
        <w:ind w:firstLine="640" w:firstLineChars="200"/>
        <w:rPr>
          <w:rFonts w:hint="eastAsia"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kern w:val="0"/>
          <w:sz w:val="32"/>
          <w:szCs w:val="32"/>
        </w:rPr>
        <w:t>（七）创新财政金融支持</w:t>
      </w: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rPr>
        <w:t xml:space="preserve">    </w:t>
      </w:r>
      <w:r>
        <w:rPr>
          <w:rStyle w:val="18"/>
          <w:rFonts w:hint="eastAsia" w:ascii="Times New Roman" w:hAnsi="Times New Roman" w:eastAsia="方正仿宋_GBK"/>
          <w:color w:val="auto"/>
          <w:kern w:val="0"/>
          <w:sz w:val="32"/>
          <w:szCs w:val="32"/>
        </w:rPr>
        <w:t>对申请获得科技型企业知识价值信用贷款的企业，按时还本付息后，给予企业按该项贷款当期收取担保服务费全额补助。</w:t>
      </w:r>
    </w:p>
    <w:p>
      <w:pPr>
        <w:pStyle w:val="10"/>
        <w:spacing w:before="0" w:after="0" w:line="594" w:lineRule="exact"/>
        <w:ind w:firstLine="640" w:firstLineChars="200"/>
        <w:jc w:val="both"/>
        <w:rPr>
          <w:rFonts w:ascii="方正黑体_GBK" w:hAnsi="方正黑体_GBK" w:eastAsia="方正黑体_GBK" w:cs="方正黑体_GBK"/>
          <w:b w:val="0"/>
          <w:bCs w:val="0"/>
          <w:color w:val="auto"/>
          <w:sz w:val="32"/>
        </w:rPr>
      </w:pPr>
      <w:r>
        <w:rPr>
          <w:rFonts w:hint="eastAsia" w:ascii="方正楷体_GBK" w:hAnsi="方正楷体_GBK" w:eastAsia="方正楷体_GBK" w:cs="方正楷体_GBK"/>
          <w:b w:val="0"/>
          <w:bCs w:val="0"/>
          <w:color w:val="auto"/>
          <w:kern w:val="0"/>
          <w:sz w:val="32"/>
        </w:rPr>
        <w:t>（八）促进科技成果转化落地</w:t>
      </w:r>
    </w:p>
    <w:p>
      <w:pPr>
        <w:spacing w:line="594" w:lineRule="exact"/>
        <w:ind w:firstLine="640" w:firstLineChars="200"/>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对获得国家技术发明奖或科技进步奖特等奖、一等奖、二等奖的第一完成社会单位，且该科技成果在南岸区、重庆经开区成功转化的，分别最高给予1000万元、500万元、100万元一次性补助。对获得重庆市技术发明或科技进步特等奖、一等奖、二等奖、三等奖的第一完成社会单位，且该科技成果在南岸区、重庆经开区成功转化的，分别最高给予50万元、30万元、20万元、10万元补助；获区级补助的单位应抽取一定比例给予本单位成果转化团队人才经费支持，抽取比例不得低于国家、市级科技奖励奖金标准，用于科技成果转化团队持续开展研发活动。鼓励在区高校、科研院所和企业参加科技部门举办的国家级、市级、区级创新创业大赛，对落地在南岸区、重庆经开区的获奖项目给予区级奖励。对获得国家级一、二、三等奖的项目，分别给予30万元、20万元、10万元一次性奖励；对获得市级一、二、三等奖的项目，分别给予10万元、5万元、2万元一次性奖励；对获得区级一、二、三等奖的项目，分别给予5万元、3万元、1万元一次性奖励。对首次认定的国家级、市级专业化科技成果转化机构，分别给予10万元、5万元一次性奖励，对符合条件并获得市级奖补的专业化科技成果转化机构，根据上年度科技成果转化绩效，按照市级奖补的50%给予最高50万元补助。</w:t>
      </w:r>
    </w:p>
    <w:p>
      <w:pPr>
        <w:numPr>
          <w:ilvl w:val="0"/>
          <w:numId w:val="4"/>
        </w:numPr>
        <w:spacing w:line="594" w:lineRule="exact"/>
        <w:ind w:firstLine="640" w:firstLineChars="200"/>
        <w:rPr>
          <w:rFonts w:hint="eastAsia"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kern w:val="0"/>
          <w:sz w:val="32"/>
          <w:szCs w:val="32"/>
        </w:rPr>
        <w:t>支持创业孵化培育</w:t>
      </w:r>
    </w:p>
    <w:p>
      <w:pPr>
        <w:spacing w:line="594" w:lineRule="exact"/>
        <w:ind w:firstLine="640" w:firstLineChars="200"/>
        <w:rPr>
          <w:rFonts w:hint="eastAsia"/>
          <w:color w:val="auto"/>
        </w:rPr>
      </w:pPr>
      <w:r>
        <w:rPr>
          <w:rFonts w:hint="eastAsia" w:ascii="Times New Roman" w:hAnsi="Times New Roman" w:eastAsia="方正仿宋_GBK"/>
          <w:color w:val="auto"/>
          <w:kern w:val="0"/>
          <w:sz w:val="32"/>
          <w:szCs w:val="32"/>
        </w:rPr>
        <w:t>对新认定的国家级科技孵化器、国家备案的众创空间分别给予50万元、25万元一次性奖励，市级绩效考核评级优秀、良好的科技企业孵化器或众创空间，按上年市级绩效考核资金的50%给予最高50万元配套补助。同一平台获得多层级认定的，晋升到高等次时，新的一次性奖励只补助差额部分。</w:t>
      </w:r>
    </w:p>
    <w:p>
      <w:pPr>
        <w:numPr>
          <w:ilvl w:val="0"/>
          <w:numId w:val="4"/>
        </w:numPr>
        <w:spacing w:line="594" w:lineRule="exact"/>
        <w:ind w:firstLine="640" w:firstLineChars="200"/>
        <w:rPr>
          <w:rFonts w:hint="eastAsia"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kern w:val="0"/>
          <w:sz w:val="32"/>
          <w:szCs w:val="32"/>
        </w:rPr>
        <w:t>建设农业专家大院和科普基地奖励</w:t>
      </w:r>
    </w:p>
    <w:p>
      <w:pPr>
        <w:spacing w:line="594" w:lineRule="exact"/>
        <w:ind w:firstLine="640" w:firstLineChars="200"/>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对新认定的市级、区级农业科技专家大院一次性分别给予10万元、5万元奖励；</w:t>
      </w:r>
      <w:r>
        <w:rPr>
          <w:rFonts w:hint="eastAsia" w:eastAsia="方正仿宋_GBK"/>
          <w:color w:val="auto"/>
          <w:sz w:val="32"/>
          <w:szCs w:val="32"/>
          <w:lang w:eastAsia="zh-CN"/>
        </w:rPr>
        <w:t>对新</w:t>
      </w:r>
      <w:r>
        <w:rPr>
          <w:rFonts w:hint="eastAsia" w:ascii="Times New Roman" w:hAnsi="Times New Roman" w:eastAsia="方正仿宋_GBK"/>
          <w:color w:val="auto"/>
          <w:sz w:val="32"/>
          <w:szCs w:val="32"/>
        </w:rPr>
        <w:t>认定的国家、市级、区级科普基地分别给予10万元、5万元、2万元</w:t>
      </w:r>
      <w:r>
        <w:rPr>
          <w:rFonts w:hint="eastAsia" w:eastAsia="方正仿宋_GBK"/>
          <w:color w:val="auto"/>
          <w:sz w:val="32"/>
          <w:szCs w:val="32"/>
          <w:lang w:eastAsia="zh-CN"/>
        </w:rPr>
        <w:t>一次性</w:t>
      </w:r>
      <w:r>
        <w:rPr>
          <w:rFonts w:hint="eastAsia" w:ascii="Times New Roman" w:hAnsi="Times New Roman" w:eastAsia="方正仿宋_GBK"/>
          <w:color w:val="auto"/>
          <w:sz w:val="32"/>
          <w:szCs w:val="32"/>
        </w:rPr>
        <w:t>奖励，对经常性开展有特色、普及面广、针对性强科普活动的优秀区级科普基地给予2万元年度奖补资金。</w:t>
      </w:r>
    </w:p>
    <w:p>
      <w:pPr>
        <w:spacing w:line="594"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三、咨询电话</w:t>
      </w:r>
    </w:p>
    <w:p>
      <w:pPr>
        <w:spacing w:line="594" w:lineRule="exact"/>
        <w:ind w:left="420" w:leftChars="200" w:firstLine="320" w:firstLineChars="10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（一）创新主体培育类：</w:t>
      </w:r>
    </w:p>
    <w:p>
      <w:pPr>
        <w:spacing w:line="594" w:lineRule="exact"/>
        <w:ind w:firstLine="640" w:firstLineChars="200"/>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lang w:eastAsia="zh-CN"/>
        </w:rPr>
        <w:t>南岸区</w:t>
      </w:r>
      <w:r>
        <w:rPr>
          <w:rFonts w:hint="eastAsia" w:ascii="Times New Roman" w:hAnsi="Times New Roman" w:eastAsia="方正仿宋_GBK"/>
          <w:color w:val="auto"/>
          <w:sz w:val="32"/>
          <w:szCs w:val="32"/>
        </w:rPr>
        <w:t>：62988729</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62988037；</w:t>
      </w:r>
    </w:p>
    <w:p>
      <w:pPr>
        <w:spacing w:line="594" w:lineRule="exact"/>
        <w:ind w:firstLine="640" w:firstLineChars="200"/>
        <w:rPr>
          <w:rFonts w:hint="default"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eastAsia="zh-CN"/>
        </w:rPr>
        <w:t>重庆经开区</w:t>
      </w: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62985216、62982296。</w:t>
      </w:r>
    </w:p>
    <w:p>
      <w:pPr>
        <w:spacing w:line="594" w:lineRule="exact"/>
        <w:ind w:left="420" w:leftChars="200" w:firstLine="320" w:firstLineChars="10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（二）创新创业与孵化培育类：</w:t>
      </w:r>
    </w:p>
    <w:p>
      <w:pPr>
        <w:spacing w:line="594" w:lineRule="exact"/>
        <w:ind w:firstLine="640" w:firstLineChars="200"/>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lang w:eastAsia="zh-CN"/>
        </w:rPr>
        <w:t>南岸区</w:t>
      </w:r>
      <w:r>
        <w:rPr>
          <w:rFonts w:hint="eastAsia" w:ascii="Times New Roman" w:hAnsi="Times New Roman" w:eastAsia="方正仿宋_GBK"/>
          <w:color w:val="auto"/>
          <w:sz w:val="32"/>
          <w:szCs w:val="32"/>
        </w:rPr>
        <w:t>：6275</w:t>
      </w:r>
      <w:r>
        <w:rPr>
          <w:rFonts w:hint="eastAsia" w:ascii="Times New Roman" w:hAnsi="Times New Roman" w:eastAsia="方正仿宋_GBK"/>
          <w:color w:val="auto"/>
          <w:sz w:val="32"/>
          <w:szCs w:val="32"/>
          <w:lang w:val="en-US" w:eastAsia="zh-CN"/>
        </w:rPr>
        <w:t>2297</w:t>
      </w:r>
      <w:r>
        <w:rPr>
          <w:rFonts w:hint="eastAsia" w:ascii="Times New Roman" w:hAnsi="Times New Roman" w:eastAsia="方正仿宋_GBK"/>
          <w:color w:val="auto"/>
          <w:sz w:val="32"/>
          <w:szCs w:val="32"/>
        </w:rPr>
        <w:t>；</w:t>
      </w:r>
    </w:p>
    <w:p>
      <w:pPr>
        <w:spacing w:line="594"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lang w:eastAsia="zh-CN"/>
        </w:rPr>
        <w:t>重庆经开区</w:t>
      </w: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62985216、62982296。</w:t>
      </w:r>
    </w:p>
    <w:p>
      <w:pPr>
        <w:spacing w:line="594" w:lineRule="exact"/>
        <w:ind w:left="420" w:leftChars="200" w:firstLine="320" w:firstLineChars="100"/>
        <w:rPr>
          <w:rFonts w:ascii="Times New Roman" w:hAnsi="Times New Roman" w:eastAsia="方正仿宋_GBK"/>
          <w:color w:val="auto"/>
          <w:sz w:val="32"/>
          <w:szCs w:val="32"/>
        </w:rPr>
      </w:pPr>
      <w:r>
        <w:rPr>
          <w:rFonts w:hint="eastAsia" w:ascii="方正楷体_GBK" w:hAnsi="方正楷体_GBK" w:eastAsia="方正楷体_GBK" w:cs="方正楷体_GBK"/>
          <w:color w:val="auto"/>
          <w:sz w:val="32"/>
          <w:szCs w:val="32"/>
        </w:rPr>
        <w:t>（三）农业专家大院和科普基地类：</w:t>
      </w:r>
      <w:r>
        <w:rPr>
          <w:rFonts w:hint="eastAsia" w:ascii="Times New Roman" w:hAnsi="Times New Roman" w:eastAsia="方正仿宋_GBK"/>
          <w:color w:val="auto"/>
          <w:sz w:val="32"/>
          <w:szCs w:val="32"/>
        </w:rPr>
        <w:t>62988560。</w:t>
      </w:r>
    </w:p>
    <w:p>
      <w:pPr>
        <w:rPr>
          <w:rFonts w:hint="eastAsia"/>
        </w:rPr>
      </w:pPr>
      <w:r>
        <w:rPr>
          <w:rFonts w:hint="eastAsia" w:ascii="方正黑体_GBK" w:hAnsi="方正黑体_GBK" w:eastAsia="方正黑体_GBK" w:cs="方正黑体_GBK"/>
          <w:color w:val="auto"/>
          <w:sz w:val="32"/>
          <w:szCs w:val="32"/>
        </w:rPr>
        <w:t>附件2</w:t>
      </w:r>
    </w:p>
    <w:p>
      <w:pPr>
        <w:spacing w:line="700" w:lineRule="exact"/>
        <w:jc w:val="center"/>
        <w:rPr>
          <w:rFonts w:hint="eastAsia" w:ascii="方正小标宋_GBK" w:eastAsia="方正小标宋_GBK"/>
          <w:color w:val="auto"/>
          <w:sz w:val="32"/>
          <w:szCs w:val="32"/>
        </w:rPr>
      </w:pPr>
      <w:r>
        <w:rPr>
          <w:rFonts w:hint="eastAsia" w:ascii="方正小标宋_GBK" w:eastAsia="方正小标宋_GBK"/>
          <w:color w:val="auto"/>
          <w:spacing w:val="1"/>
          <w:w w:val="96"/>
          <w:kern w:val="0"/>
          <w:sz w:val="36"/>
          <w:szCs w:val="36"/>
          <w:fitText w:val="8784" w:id="332404996"/>
          <w:lang w:val="zh-CN"/>
        </w:rPr>
        <w:t>南岸区、重庆经开区科技创新政策补助申请表</w:t>
      </w:r>
      <w:r>
        <w:rPr>
          <w:rFonts w:hint="eastAsia" w:ascii="方正小标宋_GBK" w:eastAsia="方正小标宋_GBK"/>
          <w:color w:val="auto"/>
          <w:spacing w:val="1"/>
          <w:w w:val="96"/>
          <w:kern w:val="0"/>
          <w:sz w:val="32"/>
          <w:szCs w:val="32"/>
          <w:fitText w:val="8784" w:id="332404996"/>
        </w:rPr>
        <w:t>（20  年度</w:t>
      </w:r>
      <w:r>
        <w:rPr>
          <w:rFonts w:hint="eastAsia" w:ascii="方正小标宋_GBK" w:eastAsia="方正小标宋_GBK"/>
          <w:color w:val="auto"/>
          <w:spacing w:val="15"/>
          <w:w w:val="96"/>
          <w:kern w:val="0"/>
          <w:sz w:val="32"/>
          <w:szCs w:val="32"/>
          <w:fitText w:val="8784" w:id="332404996"/>
        </w:rPr>
        <w:t>）</w:t>
      </w:r>
    </w:p>
    <w:tbl>
      <w:tblPr>
        <w:tblStyle w:val="11"/>
        <w:tblpPr w:leftFromText="180" w:rightFromText="180" w:vertAnchor="text" w:horzAnchor="page" w:tblpX="1337" w:tblpY="136"/>
        <w:tblOverlap w:val="never"/>
        <w:tblW w:w="952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22"/>
        <w:gridCol w:w="2845"/>
        <w:gridCol w:w="1470"/>
        <w:gridCol w:w="3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trPr>
        <w:tc>
          <w:tcPr>
            <w:tcW w:w="1922" w:type="dxa"/>
            <w:noWrap w:val="0"/>
            <w:vAlign w:val="center"/>
          </w:tcPr>
          <w:p>
            <w:pPr>
              <w:spacing w:line="300" w:lineRule="exact"/>
              <w:jc w:val="center"/>
              <w:rPr>
                <w:rFonts w:ascii="方正黑体_GBK" w:hAnsi="黑体" w:eastAsia="方正黑体_GBK" w:cs="Calibri"/>
                <w:color w:val="auto"/>
                <w:sz w:val="24"/>
              </w:rPr>
            </w:pPr>
            <w:r>
              <w:rPr>
                <w:rFonts w:hint="eastAsia" w:ascii="方正黑体_GBK" w:hAnsi="黑体" w:eastAsia="方正黑体_GBK" w:cs="Calibri"/>
                <w:color w:val="auto"/>
                <w:sz w:val="24"/>
              </w:rPr>
              <w:t>单位名称</w:t>
            </w:r>
          </w:p>
        </w:tc>
        <w:tc>
          <w:tcPr>
            <w:tcW w:w="2845" w:type="dxa"/>
            <w:tcBorders>
              <w:right w:val="single" w:color="auto" w:sz="4" w:space="0"/>
            </w:tcBorders>
            <w:noWrap/>
            <w:vAlign w:val="center"/>
          </w:tcPr>
          <w:p>
            <w:pPr>
              <w:spacing w:line="300" w:lineRule="exact"/>
              <w:rPr>
                <w:rFonts w:ascii="方正仿宋_GBK"/>
                <w:color w:val="auto"/>
                <w:sz w:val="24"/>
              </w:rPr>
            </w:pPr>
          </w:p>
        </w:tc>
        <w:tc>
          <w:tcPr>
            <w:tcW w:w="1470" w:type="dxa"/>
            <w:tcBorders>
              <w:left w:val="single" w:color="auto" w:sz="4" w:space="0"/>
              <w:right w:val="single" w:color="auto" w:sz="4" w:space="0"/>
            </w:tcBorders>
            <w:noWrap/>
            <w:vAlign w:val="center"/>
          </w:tcPr>
          <w:p>
            <w:pPr>
              <w:spacing w:line="300" w:lineRule="exact"/>
              <w:jc w:val="center"/>
              <w:rPr>
                <w:rFonts w:hint="eastAsia" w:ascii="方正仿宋_GBK"/>
                <w:color w:val="auto"/>
                <w:sz w:val="24"/>
              </w:rPr>
            </w:pPr>
            <w:r>
              <w:rPr>
                <w:rFonts w:hint="eastAsia" w:ascii="方正黑体_GBK" w:hAnsi="黑体" w:eastAsia="方正黑体_GBK" w:cs="Calibri"/>
                <w:color w:val="auto"/>
                <w:sz w:val="24"/>
              </w:rPr>
              <w:t>单位性质</w:t>
            </w:r>
          </w:p>
        </w:tc>
        <w:tc>
          <w:tcPr>
            <w:tcW w:w="3284" w:type="dxa"/>
            <w:tcBorders>
              <w:left w:val="single" w:color="auto" w:sz="4" w:space="0"/>
            </w:tcBorders>
            <w:noWrap/>
            <w:vAlign w:val="center"/>
          </w:tcPr>
          <w:p>
            <w:pPr>
              <w:spacing w:line="300" w:lineRule="exact"/>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sym w:font="Wingdings 2" w:char="00A3"/>
            </w:r>
            <w:r>
              <w:rPr>
                <w:rFonts w:hint="eastAsia" w:ascii="方正黑体_GBK" w:hAnsi="方正黑体_GBK" w:eastAsia="方正黑体_GBK" w:cs="方正黑体_GBK"/>
                <w:color w:val="auto"/>
                <w:sz w:val="24"/>
              </w:rPr>
              <w:t xml:space="preserve">企业   </w:t>
            </w:r>
            <w:r>
              <w:rPr>
                <w:rFonts w:hint="eastAsia" w:ascii="方正黑体_GBK" w:hAnsi="方正黑体_GBK" w:eastAsia="方正黑体_GBK" w:cs="方正黑体_GBK"/>
                <w:color w:val="auto"/>
                <w:sz w:val="24"/>
              </w:rPr>
              <w:sym w:font="Wingdings 2" w:char="00A3"/>
            </w:r>
            <w:r>
              <w:rPr>
                <w:rFonts w:hint="eastAsia" w:ascii="方正黑体_GBK" w:hAnsi="方正黑体_GBK" w:eastAsia="方正黑体_GBK" w:cs="方正黑体_GBK"/>
                <w:color w:val="auto"/>
                <w:sz w:val="24"/>
              </w:rPr>
              <w:t xml:space="preserve">事业单位 </w:t>
            </w:r>
          </w:p>
          <w:p>
            <w:pPr>
              <w:spacing w:line="300" w:lineRule="exact"/>
              <w:rPr>
                <w:rFonts w:hint="eastAsia" w:ascii="方正仿宋_GBK" w:eastAsia="方正黑体_GBK"/>
                <w:color w:val="auto"/>
                <w:sz w:val="24"/>
              </w:rPr>
            </w:pPr>
            <w:r>
              <w:rPr>
                <w:rFonts w:hint="eastAsia" w:ascii="方正黑体_GBK" w:hAnsi="方正黑体_GBK" w:eastAsia="方正黑体_GBK" w:cs="方正黑体_GBK"/>
                <w:color w:val="auto"/>
                <w:sz w:val="24"/>
              </w:rPr>
              <w:sym w:font="Wingdings 2" w:char="00A3"/>
            </w:r>
            <w:r>
              <w:rPr>
                <w:rFonts w:hint="eastAsia" w:ascii="方正黑体_GBK" w:hAnsi="方正黑体_GBK" w:eastAsia="方正黑体_GBK" w:cs="方正黑体_GBK"/>
                <w:color w:val="auto"/>
                <w:sz w:val="24"/>
              </w:rPr>
              <w:t>民办非企业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6" w:hRule="atLeast"/>
        </w:trPr>
        <w:tc>
          <w:tcPr>
            <w:tcW w:w="1922" w:type="dxa"/>
            <w:tcBorders>
              <w:bottom w:val="single" w:color="auto" w:sz="4" w:space="0"/>
            </w:tcBorders>
            <w:noWrap w:val="0"/>
            <w:vAlign w:val="center"/>
          </w:tcPr>
          <w:p>
            <w:pPr>
              <w:spacing w:line="300" w:lineRule="exact"/>
              <w:jc w:val="center"/>
              <w:rPr>
                <w:rFonts w:ascii="方正黑体_GBK" w:hAnsi="黑体" w:eastAsia="方正黑体_GBK" w:cs="Calibri"/>
                <w:color w:val="auto"/>
                <w:sz w:val="24"/>
              </w:rPr>
            </w:pPr>
            <w:r>
              <w:rPr>
                <w:rFonts w:hint="eastAsia" w:ascii="方正黑体_GBK" w:hAnsi="黑体" w:eastAsia="方正黑体_GBK" w:cs="Calibri"/>
                <w:color w:val="auto"/>
                <w:sz w:val="24"/>
              </w:rPr>
              <w:t>统一社会信用代码</w:t>
            </w:r>
          </w:p>
        </w:tc>
        <w:tc>
          <w:tcPr>
            <w:tcW w:w="2845" w:type="dxa"/>
            <w:tcBorders>
              <w:bottom w:val="single" w:color="auto" w:sz="4" w:space="0"/>
              <w:right w:val="single" w:color="auto" w:sz="4" w:space="0"/>
            </w:tcBorders>
            <w:noWrap/>
            <w:vAlign w:val="center"/>
          </w:tcPr>
          <w:p>
            <w:pPr>
              <w:spacing w:line="400" w:lineRule="exact"/>
              <w:rPr>
                <w:rFonts w:ascii="方正仿宋_GBK"/>
                <w:color w:val="auto"/>
                <w:sz w:val="24"/>
              </w:rPr>
            </w:pPr>
          </w:p>
        </w:tc>
        <w:tc>
          <w:tcPr>
            <w:tcW w:w="1470" w:type="dxa"/>
            <w:tcBorders>
              <w:left w:val="single" w:color="auto" w:sz="4" w:space="0"/>
              <w:bottom w:val="single" w:color="auto" w:sz="4" w:space="0"/>
              <w:right w:val="single" w:color="auto" w:sz="4" w:space="0"/>
            </w:tcBorders>
            <w:noWrap/>
            <w:vAlign w:val="center"/>
          </w:tcPr>
          <w:p>
            <w:pPr>
              <w:spacing w:line="400" w:lineRule="exact"/>
              <w:jc w:val="center"/>
              <w:rPr>
                <w:rFonts w:ascii="方正仿宋_GBK"/>
                <w:color w:val="auto"/>
                <w:sz w:val="24"/>
              </w:rPr>
            </w:pPr>
            <w:r>
              <w:rPr>
                <w:rFonts w:hint="eastAsia" w:ascii="方正黑体_GBK" w:hAnsi="黑体" w:eastAsia="方正黑体_GBK" w:cs="Calibri"/>
                <w:color w:val="auto"/>
                <w:sz w:val="24"/>
              </w:rPr>
              <w:t>详细地址</w:t>
            </w:r>
          </w:p>
        </w:tc>
        <w:tc>
          <w:tcPr>
            <w:tcW w:w="3284" w:type="dxa"/>
            <w:tcBorders>
              <w:left w:val="single" w:color="auto" w:sz="4" w:space="0"/>
              <w:bottom w:val="single" w:color="auto" w:sz="4" w:space="0"/>
            </w:tcBorders>
            <w:noWrap/>
            <w:vAlign w:val="center"/>
          </w:tcPr>
          <w:p>
            <w:pPr>
              <w:spacing w:line="400" w:lineRule="exact"/>
              <w:rPr>
                <w:rFonts w:ascii="方正仿宋_GBK"/>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trPr>
        <w:tc>
          <w:tcPr>
            <w:tcW w:w="1922" w:type="dxa"/>
            <w:tcBorders>
              <w:top w:val="single" w:color="auto" w:sz="4" w:space="0"/>
              <w:bottom w:val="single" w:color="auto" w:sz="4" w:space="0"/>
            </w:tcBorders>
            <w:noWrap w:val="0"/>
            <w:vAlign w:val="center"/>
          </w:tcPr>
          <w:p>
            <w:pPr>
              <w:spacing w:line="300" w:lineRule="exact"/>
              <w:jc w:val="center"/>
              <w:rPr>
                <w:rFonts w:hint="eastAsia" w:ascii="方正黑体_GBK" w:hAnsi="黑体" w:eastAsia="方正黑体_GBK" w:cs="Calibri"/>
                <w:color w:val="auto"/>
                <w:sz w:val="24"/>
              </w:rPr>
            </w:pPr>
            <w:r>
              <w:rPr>
                <w:rFonts w:hint="eastAsia" w:ascii="方正黑体_GBK" w:hAnsi="黑体" w:eastAsia="方正黑体_GBK" w:cs="Calibri"/>
                <w:color w:val="auto"/>
                <w:sz w:val="24"/>
              </w:rPr>
              <w:t>法定代表人</w:t>
            </w:r>
          </w:p>
        </w:tc>
        <w:tc>
          <w:tcPr>
            <w:tcW w:w="2845" w:type="dxa"/>
            <w:tcBorders>
              <w:top w:val="single" w:color="auto" w:sz="4" w:space="0"/>
              <w:bottom w:val="single" w:color="auto" w:sz="4" w:space="0"/>
              <w:right w:val="single" w:color="auto" w:sz="4" w:space="0"/>
            </w:tcBorders>
            <w:noWrap/>
            <w:vAlign w:val="center"/>
          </w:tcPr>
          <w:p>
            <w:pPr>
              <w:spacing w:line="400" w:lineRule="exact"/>
              <w:rPr>
                <w:rFonts w:ascii="方正仿宋_GBK"/>
                <w:color w:val="auto"/>
                <w:sz w:val="24"/>
              </w:rPr>
            </w:pPr>
          </w:p>
        </w:tc>
        <w:tc>
          <w:tcPr>
            <w:tcW w:w="147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方正黑体_GBK" w:hAnsi="黑体" w:eastAsia="方正黑体_GBK" w:cs="Calibri"/>
                <w:color w:val="auto"/>
                <w:sz w:val="24"/>
              </w:rPr>
            </w:pPr>
            <w:r>
              <w:rPr>
                <w:rFonts w:hint="eastAsia" w:ascii="方正黑体_GBK" w:hAnsi="黑体" w:eastAsia="方正黑体_GBK" w:cs="Calibri"/>
                <w:color w:val="auto"/>
                <w:sz w:val="24"/>
              </w:rPr>
              <w:t>联系人及联系电话</w:t>
            </w:r>
          </w:p>
        </w:tc>
        <w:tc>
          <w:tcPr>
            <w:tcW w:w="3284" w:type="dxa"/>
            <w:tcBorders>
              <w:top w:val="single" w:color="auto" w:sz="4" w:space="0"/>
              <w:left w:val="single" w:color="auto" w:sz="4" w:space="0"/>
              <w:bottom w:val="single" w:color="auto" w:sz="4" w:space="0"/>
            </w:tcBorders>
            <w:noWrap/>
            <w:vAlign w:val="center"/>
          </w:tcPr>
          <w:p>
            <w:pPr>
              <w:spacing w:line="400" w:lineRule="exact"/>
              <w:rPr>
                <w:rFonts w:ascii="方正仿宋_GBK"/>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3" w:hRule="atLeast"/>
        </w:trPr>
        <w:tc>
          <w:tcPr>
            <w:tcW w:w="1922" w:type="dxa"/>
            <w:tcBorders>
              <w:top w:val="single" w:color="auto" w:sz="4" w:space="0"/>
            </w:tcBorders>
            <w:noWrap w:val="0"/>
            <w:vAlign w:val="center"/>
          </w:tcPr>
          <w:p>
            <w:pPr>
              <w:spacing w:line="300" w:lineRule="exact"/>
              <w:jc w:val="center"/>
              <w:rPr>
                <w:rFonts w:hint="eastAsia" w:ascii="方正黑体_GBK" w:hAnsi="黑体" w:eastAsia="方正黑体_GBK" w:cs="Calibri"/>
                <w:color w:val="auto"/>
                <w:sz w:val="24"/>
              </w:rPr>
            </w:pPr>
            <w:r>
              <w:rPr>
                <w:rFonts w:hint="eastAsia" w:ascii="方正黑体_GBK" w:hAnsi="黑体" w:eastAsia="方正黑体_GBK" w:cs="Calibri"/>
                <w:color w:val="auto"/>
                <w:sz w:val="24"/>
              </w:rPr>
              <w:t>上年度研发投入</w:t>
            </w:r>
          </w:p>
        </w:tc>
        <w:tc>
          <w:tcPr>
            <w:tcW w:w="2845" w:type="dxa"/>
            <w:tcBorders>
              <w:top w:val="single" w:color="auto" w:sz="4" w:space="0"/>
              <w:right w:val="single" w:color="auto" w:sz="4" w:space="0"/>
            </w:tcBorders>
            <w:noWrap/>
            <w:vAlign w:val="center"/>
          </w:tcPr>
          <w:p>
            <w:pPr>
              <w:spacing w:line="400" w:lineRule="exact"/>
              <w:rPr>
                <w:rFonts w:ascii="方正仿宋_GBK"/>
                <w:color w:val="auto"/>
                <w:sz w:val="24"/>
              </w:rPr>
            </w:pPr>
          </w:p>
        </w:tc>
        <w:tc>
          <w:tcPr>
            <w:tcW w:w="1470" w:type="dxa"/>
            <w:tcBorders>
              <w:top w:val="single" w:color="auto" w:sz="4" w:space="0"/>
              <w:left w:val="single" w:color="auto" w:sz="4" w:space="0"/>
              <w:right w:val="single" w:color="auto" w:sz="4" w:space="0"/>
            </w:tcBorders>
            <w:noWrap/>
            <w:vAlign w:val="center"/>
          </w:tcPr>
          <w:p>
            <w:pPr>
              <w:spacing w:line="400" w:lineRule="exact"/>
              <w:jc w:val="center"/>
              <w:rPr>
                <w:rFonts w:hint="eastAsia" w:ascii="方正黑体_GBK" w:hAnsi="黑体" w:eastAsia="方正黑体_GBK" w:cs="Calibri"/>
                <w:color w:val="auto"/>
                <w:sz w:val="24"/>
              </w:rPr>
            </w:pPr>
            <w:r>
              <w:rPr>
                <w:rFonts w:hint="eastAsia" w:ascii="方正黑体_GBK" w:hAnsi="黑体" w:eastAsia="方正黑体_GBK" w:cs="Calibri"/>
                <w:color w:val="auto"/>
                <w:sz w:val="24"/>
              </w:rPr>
              <w:t>上年度纳税总额</w:t>
            </w:r>
          </w:p>
        </w:tc>
        <w:tc>
          <w:tcPr>
            <w:tcW w:w="3284" w:type="dxa"/>
            <w:tcBorders>
              <w:top w:val="single" w:color="auto" w:sz="4" w:space="0"/>
              <w:left w:val="single" w:color="auto" w:sz="4" w:space="0"/>
            </w:tcBorders>
            <w:noWrap/>
            <w:vAlign w:val="center"/>
          </w:tcPr>
          <w:p>
            <w:pPr>
              <w:spacing w:line="400" w:lineRule="exact"/>
              <w:rPr>
                <w:rFonts w:ascii="方正仿宋_GBK"/>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5" w:hRule="atLeast"/>
        </w:trPr>
        <w:tc>
          <w:tcPr>
            <w:tcW w:w="1922" w:type="dxa"/>
            <w:tcBorders>
              <w:bottom w:val="single" w:color="auto" w:sz="4" w:space="0"/>
            </w:tcBorders>
            <w:noWrap w:val="0"/>
            <w:vAlign w:val="center"/>
          </w:tcPr>
          <w:p>
            <w:pPr>
              <w:spacing w:line="400" w:lineRule="exact"/>
              <w:jc w:val="center"/>
              <w:rPr>
                <w:rFonts w:hint="eastAsia" w:ascii="方正黑体_GBK" w:hAnsi="黑体" w:eastAsia="方正黑体_GBK" w:cs="Calibri"/>
                <w:color w:val="auto"/>
                <w:sz w:val="24"/>
              </w:rPr>
            </w:pPr>
            <w:r>
              <w:rPr>
                <w:rFonts w:hint="eastAsia" w:ascii="方正黑体_GBK" w:hAnsi="黑体" w:eastAsia="方正黑体_GBK" w:cs="Calibri"/>
                <w:color w:val="auto"/>
                <w:sz w:val="24"/>
              </w:rPr>
              <w:t>申报类型</w:t>
            </w:r>
          </w:p>
        </w:tc>
        <w:tc>
          <w:tcPr>
            <w:tcW w:w="2845" w:type="dxa"/>
            <w:tcBorders>
              <w:bottom w:val="single" w:color="auto" w:sz="4" w:space="0"/>
              <w:right w:val="single" w:color="auto" w:sz="4" w:space="0"/>
            </w:tcBorders>
            <w:noWrap/>
            <w:vAlign w:val="center"/>
          </w:tcPr>
          <w:p>
            <w:pPr>
              <w:spacing w:line="600" w:lineRule="exact"/>
              <w:rPr>
                <w:rFonts w:hint="eastAsia" w:ascii="方正仿宋_GBK"/>
                <w:color w:val="auto"/>
                <w:szCs w:val="32"/>
              </w:rPr>
            </w:pPr>
            <w:r>
              <w:rPr>
                <w:rFonts w:hint="eastAsia" w:ascii="方正仿宋_GBK"/>
                <w:color w:val="auto"/>
                <w:szCs w:val="32"/>
              </w:rPr>
              <w:t>例：高新技术企业</w:t>
            </w:r>
          </w:p>
        </w:tc>
        <w:tc>
          <w:tcPr>
            <w:tcW w:w="1470" w:type="dxa"/>
            <w:tcBorders>
              <w:left w:val="single" w:color="auto" w:sz="4" w:space="0"/>
              <w:bottom w:val="single" w:color="auto" w:sz="4" w:space="0"/>
              <w:right w:val="single" w:color="auto" w:sz="4" w:space="0"/>
            </w:tcBorders>
            <w:noWrap/>
            <w:vAlign w:val="center"/>
          </w:tcPr>
          <w:p>
            <w:pPr>
              <w:spacing w:line="600" w:lineRule="exact"/>
              <w:jc w:val="center"/>
              <w:rPr>
                <w:rFonts w:hint="eastAsia" w:ascii="方正仿宋_GBK"/>
                <w:color w:val="auto"/>
                <w:szCs w:val="32"/>
              </w:rPr>
            </w:pPr>
            <w:r>
              <w:rPr>
                <w:rFonts w:hint="eastAsia" w:ascii="方正黑体_GBK" w:hAnsi="黑体" w:eastAsia="方正黑体_GBK" w:cs="Calibri"/>
                <w:color w:val="auto"/>
                <w:sz w:val="24"/>
              </w:rPr>
              <w:t>子项类别</w:t>
            </w:r>
          </w:p>
        </w:tc>
        <w:tc>
          <w:tcPr>
            <w:tcW w:w="3284" w:type="dxa"/>
            <w:tcBorders>
              <w:left w:val="single" w:color="auto" w:sz="4" w:space="0"/>
              <w:bottom w:val="single" w:color="auto" w:sz="4" w:space="0"/>
            </w:tcBorders>
            <w:noWrap/>
            <w:vAlign w:val="center"/>
          </w:tcPr>
          <w:p>
            <w:pPr>
              <w:spacing w:line="400" w:lineRule="exact"/>
              <w:rPr>
                <w:rFonts w:ascii="方正仿宋_GBK"/>
                <w:color w:val="auto"/>
                <w:szCs w:val="32"/>
              </w:rPr>
            </w:pPr>
            <w:r>
              <w:rPr>
                <w:rFonts w:hint="eastAsia" w:ascii="方正仿宋_GBK"/>
                <w:color w:val="auto"/>
                <w:szCs w:val="32"/>
              </w:rPr>
              <w:t>例：首次认定规模以上高新技术企业/首次认定规模以下高新技术企业/首次升规上限高新技术企业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33" w:hRule="atLeast"/>
        </w:trPr>
        <w:tc>
          <w:tcPr>
            <w:tcW w:w="1922" w:type="dxa"/>
            <w:tcBorders>
              <w:top w:val="single" w:color="auto" w:sz="4" w:space="0"/>
              <w:bottom w:val="single" w:color="auto" w:sz="4" w:space="0"/>
            </w:tcBorders>
            <w:noWrap w:val="0"/>
            <w:vAlign w:val="center"/>
          </w:tcPr>
          <w:p>
            <w:pPr>
              <w:spacing w:line="400" w:lineRule="exact"/>
              <w:jc w:val="center"/>
              <w:rPr>
                <w:rFonts w:hint="eastAsia" w:ascii="方正黑体_GBK" w:hAnsi="黑体" w:eastAsia="方正黑体_GBK" w:cs="Calibri"/>
                <w:color w:val="auto"/>
                <w:sz w:val="24"/>
              </w:rPr>
            </w:pPr>
            <w:r>
              <w:rPr>
                <w:rFonts w:hint="eastAsia" w:ascii="方正黑体_GBK" w:hAnsi="黑体" w:eastAsia="方正黑体_GBK" w:cs="Calibri"/>
                <w:color w:val="auto"/>
                <w:sz w:val="24"/>
                <w:lang w:eastAsia="zh-CN"/>
              </w:rPr>
              <w:t>附件</w:t>
            </w:r>
            <w:r>
              <w:rPr>
                <w:rFonts w:hint="eastAsia" w:ascii="方正黑体_GBK" w:hAnsi="黑体" w:eastAsia="方正黑体_GBK" w:cs="Calibri"/>
                <w:color w:val="auto"/>
                <w:sz w:val="24"/>
              </w:rPr>
              <w:t>材料</w:t>
            </w:r>
          </w:p>
        </w:tc>
        <w:tc>
          <w:tcPr>
            <w:tcW w:w="7599" w:type="dxa"/>
            <w:gridSpan w:val="3"/>
            <w:tcBorders>
              <w:top w:val="single" w:color="auto" w:sz="4" w:space="0"/>
              <w:bottom w:val="single" w:color="auto" w:sz="4" w:space="0"/>
            </w:tcBorders>
            <w:noWrap/>
            <w:vAlign w:val="center"/>
          </w:tcPr>
          <w:p>
            <w:pPr>
              <w:spacing w:line="400" w:lineRule="exact"/>
              <w:rPr>
                <w:rFonts w:ascii="Times New Roman" w:hAnsi="Times New Roman" w:eastAsia="方正仿宋_GBK"/>
                <w:color w:val="auto"/>
                <w:sz w:val="24"/>
              </w:rPr>
            </w:pPr>
            <w:r>
              <w:rPr>
                <w:rFonts w:ascii="Times New Roman" w:hAnsi="Times New Roman" w:eastAsia="方正仿宋_GBK"/>
                <w:color w:val="auto"/>
                <w:sz w:val="24"/>
              </w:rPr>
              <w:t>1.</w:t>
            </w:r>
          </w:p>
          <w:p>
            <w:pPr>
              <w:spacing w:line="400" w:lineRule="exact"/>
              <w:rPr>
                <w:rFonts w:ascii="Times New Roman" w:hAnsi="Times New Roman" w:eastAsia="方正仿宋_GBK"/>
                <w:color w:val="auto"/>
                <w:sz w:val="24"/>
              </w:rPr>
            </w:pPr>
            <w:r>
              <w:rPr>
                <w:rFonts w:ascii="Times New Roman" w:hAnsi="Times New Roman" w:eastAsia="方正仿宋_GBK"/>
                <w:color w:val="auto"/>
                <w:sz w:val="24"/>
              </w:rPr>
              <w:t>2.</w:t>
            </w:r>
          </w:p>
          <w:p>
            <w:pPr>
              <w:spacing w:line="400" w:lineRule="exact"/>
              <w:rPr>
                <w:rFonts w:ascii="Times New Roman" w:hAnsi="Times New Roman" w:eastAsia="方正仿宋_GBK"/>
                <w:color w:val="auto"/>
                <w:sz w:val="24"/>
              </w:rPr>
            </w:pPr>
            <w:r>
              <w:rPr>
                <w:rFonts w:ascii="Times New Roman" w:hAnsi="Times New Roman" w:eastAsia="方正仿宋_GBK"/>
                <w:color w:val="auto"/>
                <w:sz w:val="24"/>
              </w:rPr>
              <w:t>3.</w:t>
            </w:r>
          </w:p>
          <w:p>
            <w:pPr>
              <w:spacing w:line="400" w:lineRule="exact"/>
              <w:rPr>
                <w:rFonts w:ascii="Times New Roman" w:hAnsi="Times New Roman" w:eastAsia="方正仿宋_GBK"/>
                <w:color w:val="auto"/>
                <w:sz w:val="24"/>
              </w:rPr>
            </w:pPr>
            <w:r>
              <w:rPr>
                <w:rFonts w:hint="eastAsia" w:ascii="Times New Roman" w:hAnsi="Times New Roman" w:eastAsia="方正仿宋_GBK"/>
                <w:color w:val="auto"/>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5" w:hRule="atLeast"/>
        </w:trPr>
        <w:tc>
          <w:tcPr>
            <w:tcW w:w="1922" w:type="dxa"/>
            <w:tcBorders>
              <w:top w:val="single" w:color="auto" w:sz="4" w:space="0"/>
              <w:right w:val="single" w:color="auto" w:sz="4" w:space="0"/>
            </w:tcBorders>
            <w:noWrap w:val="0"/>
            <w:vAlign w:val="center"/>
          </w:tcPr>
          <w:p>
            <w:pPr>
              <w:spacing w:line="400" w:lineRule="exact"/>
              <w:jc w:val="center"/>
              <w:rPr>
                <w:rFonts w:hint="eastAsia" w:ascii="方正仿宋_GBK" w:eastAsia="方正仿宋_GBK"/>
                <w:color w:val="auto"/>
                <w:szCs w:val="32"/>
              </w:rPr>
            </w:pPr>
            <w:r>
              <w:rPr>
                <w:rFonts w:hint="eastAsia" w:ascii="方正黑体_GBK" w:hAnsi="黑体" w:eastAsia="方正黑体_GBK" w:cs="Calibri"/>
                <w:color w:val="auto"/>
                <w:sz w:val="24"/>
              </w:rPr>
              <w:t>申报补助经费（万元）</w:t>
            </w:r>
          </w:p>
        </w:tc>
        <w:tc>
          <w:tcPr>
            <w:tcW w:w="2845" w:type="dxa"/>
            <w:tcBorders>
              <w:top w:val="single" w:color="auto" w:sz="4" w:space="0"/>
              <w:left w:val="single" w:color="auto" w:sz="4" w:space="0"/>
              <w:right w:val="single" w:color="auto" w:sz="4" w:space="0"/>
            </w:tcBorders>
            <w:noWrap w:val="0"/>
            <w:vAlign w:val="center"/>
          </w:tcPr>
          <w:p>
            <w:pPr>
              <w:spacing w:line="400" w:lineRule="exact"/>
              <w:rPr>
                <w:rFonts w:hint="eastAsia" w:ascii="方正仿宋_GBK"/>
                <w:color w:val="auto"/>
                <w:szCs w:val="32"/>
              </w:rPr>
            </w:pPr>
            <w:r>
              <w:rPr>
                <w:rFonts w:hint="eastAsia" w:ascii="方正仿宋_GBK"/>
                <w:color w:val="auto"/>
                <w:szCs w:val="32"/>
              </w:rPr>
              <w:t>（申请企业研发投入补助的不填此项）</w:t>
            </w:r>
          </w:p>
        </w:tc>
        <w:tc>
          <w:tcPr>
            <w:tcW w:w="1470"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方正仿宋_GBK" w:eastAsia="方正仿宋_GBK"/>
                <w:color w:val="auto"/>
                <w:szCs w:val="32"/>
              </w:rPr>
            </w:pPr>
            <w:r>
              <w:rPr>
                <w:rFonts w:hint="eastAsia" w:ascii="方正黑体_GBK" w:hAnsi="黑体" w:eastAsia="方正黑体_GBK" w:cs="Calibri"/>
                <w:color w:val="auto"/>
                <w:sz w:val="24"/>
              </w:rPr>
              <w:t>开户名称</w:t>
            </w:r>
          </w:p>
        </w:tc>
        <w:tc>
          <w:tcPr>
            <w:tcW w:w="3284" w:type="dxa"/>
            <w:tcBorders>
              <w:top w:val="single" w:color="auto" w:sz="4" w:space="0"/>
              <w:left w:val="single" w:color="auto" w:sz="4" w:space="0"/>
            </w:tcBorders>
            <w:noWrap w:val="0"/>
            <w:vAlign w:val="center"/>
          </w:tcPr>
          <w:p>
            <w:pPr>
              <w:spacing w:line="400" w:lineRule="exact"/>
              <w:rPr>
                <w:rFonts w:ascii="方正仿宋_GBK"/>
                <w:color w:val="auto"/>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11" w:hRule="atLeast"/>
        </w:trPr>
        <w:tc>
          <w:tcPr>
            <w:tcW w:w="1922" w:type="dxa"/>
            <w:noWrap w:val="0"/>
            <w:vAlign w:val="center"/>
          </w:tcPr>
          <w:p>
            <w:pPr>
              <w:spacing w:line="400" w:lineRule="exact"/>
              <w:jc w:val="center"/>
              <w:rPr>
                <w:rFonts w:ascii="方正黑体_GBK" w:hAnsi="黑体" w:eastAsia="方正黑体_GBK" w:cs="Calibri"/>
                <w:color w:val="auto"/>
                <w:sz w:val="24"/>
              </w:rPr>
            </w:pPr>
            <w:r>
              <w:rPr>
                <w:rFonts w:hint="eastAsia" w:ascii="方正黑体_GBK" w:hAnsi="黑体" w:eastAsia="方正黑体_GBK" w:cs="Calibri"/>
                <w:color w:val="auto"/>
                <w:sz w:val="24"/>
              </w:rPr>
              <w:t>开户银行</w:t>
            </w:r>
          </w:p>
        </w:tc>
        <w:tc>
          <w:tcPr>
            <w:tcW w:w="2845" w:type="dxa"/>
            <w:tcBorders>
              <w:right w:val="single" w:color="auto" w:sz="4" w:space="0"/>
            </w:tcBorders>
            <w:noWrap/>
            <w:vAlign w:val="center"/>
          </w:tcPr>
          <w:p>
            <w:pPr>
              <w:spacing w:line="400" w:lineRule="exact"/>
              <w:rPr>
                <w:rFonts w:ascii="方正仿宋_GBK"/>
                <w:color w:val="auto"/>
                <w:szCs w:val="21"/>
              </w:rPr>
            </w:pPr>
            <w:r>
              <w:rPr>
                <w:rFonts w:hint="eastAsia" w:ascii="方正仿宋_GBK"/>
                <w:color w:val="auto"/>
                <w:sz w:val="24"/>
              </w:rPr>
              <w:t>（具体开户银行网点全称）</w:t>
            </w:r>
          </w:p>
        </w:tc>
        <w:tc>
          <w:tcPr>
            <w:tcW w:w="1470" w:type="dxa"/>
            <w:tcBorders>
              <w:left w:val="single" w:color="auto" w:sz="4" w:space="0"/>
              <w:right w:val="single" w:color="auto" w:sz="4" w:space="0"/>
            </w:tcBorders>
            <w:noWrap w:val="0"/>
            <w:vAlign w:val="center"/>
          </w:tcPr>
          <w:p>
            <w:pPr>
              <w:spacing w:line="400" w:lineRule="exact"/>
              <w:jc w:val="center"/>
              <w:rPr>
                <w:rFonts w:ascii="方正黑体_GBK" w:eastAsia="方正黑体_GBK"/>
                <w:color w:val="auto"/>
                <w:sz w:val="30"/>
                <w:szCs w:val="30"/>
              </w:rPr>
            </w:pPr>
            <w:r>
              <w:rPr>
                <w:rFonts w:hint="eastAsia" w:ascii="方正黑体_GBK" w:hAnsi="黑体" w:eastAsia="方正黑体_GBK" w:cs="Calibri"/>
                <w:color w:val="auto"/>
                <w:sz w:val="24"/>
              </w:rPr>
              <w:t>银行账号</w:t>
            </w:r>
          </w:p>
        </w:tc>
        <w:tc>
          <w:tcPr>
            <w:tcW w:w="3284" w:type="dxa"/>
            <w:tcBorders>
              <w:left w:val="single" w:color="auto" w:sz="4" w:space="0"/>
            </w:tcBorders>
            <w:noWrap w:val="0"/>
            <w:vAlign w:val="center"/>
          </w:tcPr>
          <w:p>
            <w:pPr>
              <w:spacing w:line="400" w:lineRule="exact"/>
              <w:rPr>
                <w:rFonts w:ascii="方正仿宋_GBK"/>
                <w:color w:val="auto"/>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1" w:hRule="atLeast"/>
        </w:trPr>
        <w:tc>
          <w:tcPr>
            <w:tcW w:w="1922" w:type="dxa"/>
            <w:tcBorders>
              <w:top w:val="single" w:color="auto" w:sz="4" w:space="0"/>
              <w:right w:val="single" w:color="auto" w:sz="4" w:space="0"/>
            </w:tcBorders>
            <w:noWrap w:val="0"/>
            <w:vAlign w:val="center"/>
          </w:tcPr>
          <w:p>
            <w:pPr>
              <w:spacing w:line="500" w:lineRule="exact"/>
              <w:jc w:val="center"/>
              <w:rPr>
                <w:rFonts w:hint="eastAsia" w:ascii="方正仿宋_GBK"/>
                <w:color w:val="auto"/>
                <w:sz w:val="30"/>
                <w:szCs w:val="30"/>
              </w:rPr>
            </w:pPr>
            <w:r>
              <w:rPr>
                <w:rFonts w:hint="eastAsia" w:ascii="方正黑体_GBK" w:hAnsi="方正黑体_GBK" w:eastAsia="方正黑体_GBK" w:cs="方正黑体_GBK"/>
                <w:color w:val="auto"/>
                <w:sz w:val="28"/>
                <w:szCs w:val="28"/>
              </w:rPr>
              <w:t>申报单位意见</w:t>
            </w:r>
          </w:p>
        </w:tc>
        <w:tc>
          <w:tcPr>
            <w:tcW w:w="7599" w:type="dxa"/>
            <w:gridSpan w:val="3"/>
            <w:tcBorders>
              <w:top w:val="single" w:color="auto" w:sz="4" w:space="0"/>
              <w:left w:val="single" w:color="auto" w:sz="4" w:space="0"/>
            </w:tcBorders>
            <w:noWrap w:val="0"/>
            <w:vAlign w:val="top"/>
          </w:tcPr>
          <w:p>
            <w:pPr>
              <w:spacing w:line="5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我单位承诺以上申报信息的真实性和完整性，不存在</w:t>
            </w:r>
            <w:r>
              <w:rPr>
                <w:rFonts w:ascii="方正仿宋_GBK" w:hAnsi="方正仿宋_GBK" w:eastAsia="方正仿宋_GBK" w:cs="方正仿宋_GBK"/>
                <w:color w:val="auto"/>
                <w:sz w:val="28"/>
                <w:szCs w:val="28"/>
              </w:rPr>
              <w:t>弄虚作假或存在严重违反国家法律法规的行为</w:t>
            </w:r>
            <w:r>
              <w:rPr>
                <w:rFonts w:hint="eastAsia" w:ascii="方正仿宋_GBK" w:hAnsi="方正仿宋_GBK" w:eastAsia="方正仿宋_GBK" w:cs="方正仿宋_GBK"/>
                <w:color w:val="auto"/>
                <w:sz w:val="28"/>
                <w:szCs w:val="28"/>
              </w:rPr>
              <w:t>，未重复享受区级奖励和补助。</w:t>
            </w:r>
          </w:p>
          <w:p>
            <w:pPr>
              <w:spacing w:line="500" w:lineRule="exact"/>
              <w:ind w:firstLine="560" w:firstLineChars="200"/>
              <w:rPr>
                <w:rFonts w:hint="eastAsia" w:ascii="方正仿宋_GBK" w:hAnsi="方正仿宋_GBK" w:eastAsia="方正仿宋_GBK" w:cs="方正仿宋_GBK"/>
                <w:color w:val="auto"/>
                <w:sz w:val="28"/>
                <w:szCs w:val="28"/>
              </w:rPr>
            </w:pPr>
          </w:p>
          <w:p>
            <w:pPr>
              <w:spacing w:line="500" w:lineRule="exact"/>
              <w:ind w:firstLine="560" w:firstLineChars="200"/>
              <w:rPr>
                <w:rFonts w:hint="eastAsia" w:ascii="方正仿宋_GBK" w:hAnsi="方正仿宋_GBK" w:eastAsia="方正仿宋_GBK" w:cs="方正仿宋_GBK"/>
                <w:color w:val="auto"/>
                <w:sz w:val="28"/>
                <w:szCs w:val="28"/>
              </w:rPr>
            </w:pPr>
          </w:p>
          <w:p>
            <w:pPr>
              <w:spacing w:line="500" w:lineRule="exact"/>
              <w:rPr>
                <w:rFonts w:hint="eastAsia" w:ascii="方正仿宋_GBK" w:hAnsi="方正仿宋_GBK" w:eastAsia="方正仿宋_GBK" w:cs="方正仿宋_GBK"/>
                <w:color w:val="auto"/>
                <w:sz w:val="28"/>
                <w:szCs w:val="28"/>
              </w:rPr>
            </w:pPr>
          </w:p>
          <w:p>
            <w:pPr>
              <w:spacing w:line="5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法定代表人（签字）：</w:t>
            </w:r>
          </w:p>
          <w:p>
            <w:pPr>
              <w:spacing w:line="5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p>
            <w:pPr>
              <w:spacing w:line="500" w:lineRule="exact"/>
              <w:ind w:firstLine="3920" w:firstLineChars="14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8"/>
                <w:szCs w:val="28"/>
              </w:rPr>
              <w:t>申报单位（盖章）：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82" w:hRule="atLeast"/>
        </w:trPr>
        <w:tc>
          <w:tcPr>
            <w:tcW w:w="1922" w:type="dxa"/>
            <w:tcBorders>
              <w:right w:val="single" w:color="auto" w:sz="4" w:space="0"/>
            </w:tcBorders>
            <w:noWrap w:val="0"/>
            <w:vAlign w:val="center"/>
          </w:tcPr>
          <w:p>
            <w:pPr>
              <w:spacing w:line="500" w:lineRule="exact"/>
              <w:rPr>
                <w:rFonts w:hint="eastAsia" w:ascii="方正黑体_GBK" w:hAnsi="方正黑体_GBK" w:eastAsia="方正黑体_GBK" w:cs="方正黑体_GBK"/>
                <w:color w:val="auto"/>
                <w:sz w:val="24"/>
              </w:rPr>
            </w:pPr>
          </w:p>
          <w:p>
            <w:pPr>
              <w:spacing w:line="500" w:lineRule="exact"/>
              <w:rPr>
                <w:rFonts w:hint="eastAsia" w:ascii="方正黑体_GBK" w:hAnsi="方正黑体_GBK" w:eastAsia="方正黑体_GBK" w:cs="方正黑体_GBK"/>
                <w:color w:val="auto"/>
                <w:sz w:val="24"/>
              </w:rPr>
            </w:pPr>
          </w:p>
          <w:p>
            <w:pPr>
              <w:spacing w:line="500" w:lineRule="exact"/>
              <w:jc w:val="center"/>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rPr>
              <w:t>区科技局意见</w:t>
            </w:r>
            <w:r>
              <w:rPr>
                <w:rFonts w:hint="eastAsia" w:ascii="方正黑体_GBK" w:hAnsi="方正黑体_GBK" w:eastAsia="方正黑体_GBK" w:cs="方正黑体_GBK"/>
                <w:color w:val="auto"/>
                <w:sz w:val="28"/>
                <w:szCs w:val="28"/>
                <w:lang w:eastAsia="zh-CN"/>
              </w:rPr>
              <w:t>或</w:t>
            </w:r>
            <w:r>
              <w:rPr>
                <w:rFonts w:hint="eastAsia" w:ascii="方正黑体_GBK" w:hAnsi="方正黑体_GBK" w:eastAsia="方正黑体_GBK" w:cs="方正黑体_GBK"/>
                <w:color w:val="auto"/>
                <w:sz w:val="28"/>
                <w:szCs w:val="28"/>
              </w:rPr>
              <w:t>重庆经开区</w:t>
            </w:r>
            <w:r>
              <w:rPr>
                <w:rFonts w:hint="eastAsia" w:ascii="方正黑体_GBK" w:hAnsi="方正黑体_GBK" w:eastAsia="方正黑体_GBK" w:cs="方正黑体_GBK"/>
                <w:color w:val="auto"/>
                <w:sz w:val="28"/>
                <w:szCs w:val="28"/>
                <w:lang w:eastAsia="zh-CN"/>
              </w:rPr>
              <w:t>创新创业服务中心意见</w:t>
            </w:r>
          </w:p>
          <w:p>
            <w:pPr>
              <w:spacing w:line="240" w:lineRule="atLeast"/>
              <w:rPr>
                <w:rFonts w:ascii="方正仿宋_GBK" w:hAnsi="方正仿宋_GBK" w:eastAsia="方正仿宋_GBK" w:cs="方正仿宋_GBK"/>
                <w:color w:val="auto"/>
                <w:sz w:val="28"/>
                <w:szCs w:val="28"/>
              </w:rPr>
            </w:pPr>
          </w:p>
          <w:p>
            <w:pPr>
              <w:spacing w:line="240" w:lineRule="atLeast"/>
              <w:rPr>
                <w:rFonts w:ascii="方正仿宋_GBK" w:hAnsi="方正仿宋_GBK" w:eastAsia="方正仿宋_GBK" w:cs="方正仿宋_GBK"/>
                <w:color w:val="auto"/>
                <w:sz w:val="28"/>
                <w:szCs w:val="28"/>
              </w:rPr>
            </w:pPr>
          </w:p>
          <w:p>
            <w:pPr>
              <w:spacing w:line="240" w:lineRule="atLeast"/>
              <w:rPr>
                <w:rFonts w:ascii="方正仿宋_GBK"/>
                <w:color w:val="auto"/>
                <w:sz w:val="30"/>
                <w:szCs w:val="30"/>
              </w:rPr>
            </w:pPr>
          </w:p>
        </w:tc>
        <w:tc>
          <w:tcPr>
            <w:tcW w:w="7599" w:type="dxa"/>
            <w:gridSpan w:val="3"/>
            <w:tcBorders>
              <w:left w:val="single" w:color="auto" w:sz="4" w:space="0"/>
            </w:tcBorders>
            <w:noWrap w:val="0"/>
            <w:vAlign w:val="center"/>
          </w:tcPr>
          <w:p>
            <w:pPr>
              <w:spacing w:line="240" w:lineRule="atLeast"/>
              <w:ind w:firstLine="4760" w:firstLineChars="1700"/>
              <w:rPr>
                <w:rFonts w:hint="eastAsia" w:ascii="方正仿宋_GBK" w:hAnsi="方正仿宋_GBK" w:eastAsia="方正仿宋_GBK" w:cs="方正仿宋_GBK"/>
                <w:color w:val="auto"/>
                <w:sz w:val="28"/>
                <w:szCs w:val="28"/>
              </w:rPr>
            </w:pPr>
          </w:p>
          <w:p>
            <w:pPr>
              <w:pStyle w:val="2"/>
              <w:rPr>
                <w:rFonts w:hint="eastAsia"/>
                <w:color w:val="auto"/>
              </w:rPr>
            </w:pPr>
          </w:p>
          <w:p>
            <w:pPr>
              <w:spacing w:line="240" w:lineRule="atLeast"/>
              <w:rPr>
                <w:rFonts w:hint="eastAsia" w:ascii="方正仿宋_GBK" w:hAnsi="方正仿宋_GBK" w:eastAsia="方正仿宋_GBK" w:cs="方正仿宋_GBK"/>
                <w:color w:val="auto"/>
                <w:sz w:val="28"/>
                <w:szCs w:val="28"/>
              </w:rPr>
            </w:pPr>
          </w:p>
          <w:p>
            <w:pPr>
              <w:spacing w:line="240" w:lineRule="atLeast"/>
              <w:ind w:firstLine="4760" w:firstLineChars="17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（签章）：</w:t>
            </w:r>
          </w:p>
          <w:p>
            <w:pPr>
              <w:spacing w:line="240" w:lineRule="atLeas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年   月   日</w:t>
            </w:r>
          </w:p>
        </w:tc>
      </w:tr>
    </w:tbl>
    <w:p>
      <w:pPr>
        <w:rPr>
          <w:rFonts w:hint="eastAsia" w:ascii="方正黑体_GBK" w:hAnsi="方正黑体_GBK" w:eastAsia="方正黑体_GBK" w:cs="方正黑体_GBK"/>
          <w:color w:val="auto"/>
          <w:sz w:val="32"/>
          <w:szCs w:val="32"/>
        </w:rPr>
      </w:pPr>
    </w:p>
    <w:p>
      <w:pP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附件3</w:t>
      </w:r>
    </w:p>
    <w:p>
      <w:pPr>
        <w:pStyle w:val="15"/>
        <w:rPr>
          <w:rFonts w:hint="eastAsia"/>
        </w:rPr>
      </w:pPr>
    </w:p>
    <w:p>
      <w:pPr>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真实性承诺书</w:t>
      </w:r>
    </w:p>
    <w:p>
      <w:pPr>
        <w:spacing w:line="600" w:lineRule="exact"/>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郑重承诺：</w:t>
      </w:r>
      <w:r>
        <w:rPr>
          <w:rFonts w:hint="eastAsia" w:ascii="方正仿宋_GBK" w:hAnsi="方正仿宋_GBK" w:eastAsia="方正仿宋_GBK" w:cs="方正仿宋_GBK"/>
          <w:color w:val="auto"/>
          <w:sz w:val="32"/>
          <w:szCs w:val="32"/>
        </w:rPr>
        <w:t>在202  年度南岸区、重庆经开区支持科技创新引领高质量发展激励政策申报过程中，所提供的申报资料真实准确，单位信息真实有效，不存在虚假申报、编报虚假信息、篡改单位财务数据、侵犯他人知识产权等失信行为，申报年度不存在严重违反国家法律法规的行为且信誉良好，补助、奖励资金将严格执行财务规章制度和会计核算办法专款专用，持续投入研发活动，注重发挥好补助资金的经济效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如有违反，愿意承担相应责任。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p>
    <w:p>
      <w:pPr>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单位法人（签字）：</w:t>
      </w:r>
    </w:p>
    <w:p>
      <w:pPr>
        <w:ind w:firstLine="640" w:firstLineChars="200"/>
        <w:rPr>
          <w:rFonts w:hint="eastAsia" w:ascii="方正仿宋_GBK" w:hAnsi="方正仿宋_GBK" w:eastAsia="方正仿宋_GBK" w:cs="方正仿宋_GBK"/>
          <w:color w:val="auto"/>
          <w:sz w:val="32"/>
          <w:szCs w:val="32"/>
        </w:rPr>
      </w:pPr>
    </w:p>
    <w:p>
      <w:pPr>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申报单位（单位签章）：</w:t>
      </w: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color w:val="auto"/>
          <w:sz w:val="32"/>
          <w:szCs w:val="32"/>
        </w:rPr>
        <w:t xml:space="preserve">                               </w:t>
      </w:r>
      <w:r>
        <w:rPr>
          <w:rFonts w:ascii="Times New Roman" w:hAnsi="Times New Roman" w:eastAsia="方正仿宋_GBK"/>
          <w:color w:val="auto"/>
          <w:sz w:val="32"/>
          <w:szCs w:val="32"/>
        </w:rPr>
        <w:t xml:space="preserve"> 202  年  月  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sectPr>
      <w:headerReference r:id="rId5" w:type="default"/>
      <w:footerReference r:id="rId6" w:type="default"/>
      <w:type w:val="continuous"/>
      <w:pgSz w:w="11906" w:h="16838"/>
      <w:pgMar w:top="1474" w:right="1848" w:bottom="1587" w:left="1962"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70528" behindDoc="0" locked="0" layoutInCell="1" allowOverlap="1">
              <wp:simplePos x="0" y="0"/>
              <wp:positionH relativeFrom="column">
                <wp:posOffset>-10795</wp:posOffset>
              </wp:positionH>
              <wp:positionV relativeFrom="paragraph">
                <wp:posOffset>-123190</wp:posOffset>
              </wp:positionV>
              <wp:extent cx="5525135" cy="2095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25135"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9.7pt;height:1.65pt;width:435.05pt;z-index:251670528;mso-width-relative:page;mso-height-relative:page;" filled="f" stroked="t" coordsize="21600,21600" o:gfxdata="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6YrizW&#10;AAAACgEAAA8AAAAAAAAAAQAgAAAAIgAAAGRycy9kb3ducmV2LnhtbFBLAQIUABQAAAAIAIdO4kD5&#10;4grC6QEAALYDAAAOAAAAAAAAAAEAIAAAACUBAABkcnMvZTJvRG9jLnhtbFBLBQYAAAAABgAGAFkB&#10;AACA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-401320</wp:posOffset>
              </wp:positionV>
              <wp:extent cx="757555" cy="28257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757555" cy="2825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1.6pt;height:22.25pt;width:59.65pt;mso-position-horizontal:outside;mso-position-horizontal-relative:margin;z-index:251669504;mso-width-relative:page;mso-height-relative:page;" filled="f" stroked="f" coordsize="21600,21600" o:gfxdata="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86rAU1wAAAAgBAAAPAAAAAAAAAAEAIAAAACIAAABkcnMvZG93bnJl&#10;di54bWxQSwECFAAUAAAACACHTuJA/gNgLzcCAABjBAAADgAAAAAAAAABACAAAAAmAQAAZHJzL2Uy&#10;b0RvYy54bWxQSwUGAAAAAAYABgBZAQAAzwUAAAAA&#10;">
              <v:fill on="f" focussize="0,0"/>
              <v:stroke on="f" weight="0.5pt"/>
              <v:imagedata o:title=""/>
              <o:lock v:ext="edit" aspectratio="f"/>
              <v:textbox inset="0mm,0mm,0mm,0mm">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ascii="宋体" w:hAnsi="宋体" w:eastAsia="宋体" w:cs="宋体"/>
        <w:b/>
        <w:bCs/>
        <w:color w:val="005192"/>
        <w:sz w:val="28"/>
        <w:szCs w:val="44"/>
        <w:lang w:val="en-US" w:eastAsia="zh-CN"/>
      </w:rPr>
      <w:t xml:space="preserve">重庆市南岸区科学技术局发布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200" w:firstLineChars="1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8480" behindDoc="0" locked="0" layoutInCell="1" allowOverlap="1">
              <wp:simplePos x="0" y="0"/>
              <wp:positionH relativeFrom="margin">
                <wp:posOffset>4659630</wp:posOffset>
              </wp:positionH>
              <wp:positionV relativeFrom="paragraph">
                <wp:posOffset>113030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6.9pt;margin-top:8.9pt;height:144pt;width:144pt;mso-position-horizontal-relative:margin;mso-wrap-style:none;z-index:251668480;mso-width-relative:page;mso-height-relative:page;" filled="f" stroked="f" coordsize="21600,21600" o:gfxdata="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oDSBV1wAAAAsBAAAPAAAAAAAAAAEAIAAAACIAAABkcnMvZG93bnJldi54bWxQ&#10;SwECFAAUAAAACACHTuJAqaivlTECAABjBAAADgAAAAAAAAABACAAAAAmAQAAZHJzL2Uyb0RvYy54&#10;bWxQSwUGAAAAAAYABgBZAQAAyQ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7"/>
      <w:ind w:firstLine="2811" w:firstLineChars="1000"/>
      <w:jc w:val="right"/>
      <w:rPr>
        <w:rFonts w:hint="eastAsia" w:ascii="宋体" w:hAnsi="宋体" w:eastAsia="宋体" w:cs="宋体"/>
        <w:b/>
        <w:bCs/>
        <w:color w:val="005192"/>
        <w:sz w:val="28"/>
        <w:szCs w:val="44"/>
        <w:lang w:val="en-US" w:eastAsia="zh-CN"/>
      </w:rPr>
    </w:pPr>
  </w:p>
  <w:p>
    <w:pPr>
      <w:pStyle w:val="7"/>
      <w:ind w:firstLine="2811" w:firstLineChars="100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72576" behindDoc="0" locked="0" layoutInCell="1" allowOverlap="1">
              <wp:simplePos x="0" y="0"/>
              <wp:positionH relativeFrom="column">
                <wp:posOffset>-15240</wp:posOffset>
              </wp:positionH>
              <wp:positionV relativeFrom="paragraph">
                <wp:posOffset>-33020</wp:posOffset>
              </wp:positionV>
              <wp:extent cx="5164455" cy="24765"/>
              <wp:effectExtent l="0" t="10795" r="17145" b="21590"/>
              <wp:wrapNone/>
              <wp:docPr id="22" name="直接连接符 22"/>
              <wp:cNvGraphicFramePr/>
              <a:graphic xmlns:a="http://schemas.openxmlformats.org/drawingml/2006/main">
                <a:graphicData uri="http://schemas.microsoft.com/office/word/2010/wordprocessingShape">
                  <wps:wsp>
                    <wps:cNvCnPr/>
                    <wps:spPr>
                      <a:xfrm flipV="1">
                        <a:off x="0" y="0"/>
                        <a:ext cx="5164455" cy="2476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pt;margin-top:-2.6pt;height:1.95pt;width:406.65pt;z-index:251672576;mso-width-relative:page;mso-height-relative:page;" filled="f" stroked="t" coordsize="21600,21600" o:gfxdata="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4OoNPaAAAACAEAAA8AAAAAAAAAAQAgAAAAIgAAAGRycy9kb3ducmV2LnhtbFBL&#10;AQIUABQAAAAIAIdO4kADGJ0U9AEAAMIDAAAOAAAAAAAAAAEAIAAAACkBAABkcnMvZTJvRG9jLnht&#10;bFBLBQYAAAAABgAGAFkBAACP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重庆市南岸区科学技术局发布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ind w:firstLine="8353" w:firstLineChars="2600"/>
      <w:textAlignment w:val="center"/>
      <w:rPr>
        <w:rFonts w:hint="eastAsia" w:ascii="宋体" w:hAnsi="宋体" w:eastAsia="宋体" w:cs="宋体"/>
        <w:b/>
        <w:bCs/>
        <w:color w:val="005192"/>
        <w:sz w:val="13"/>
        <w:szCs w:val="13"/>
        <w:lang w:val="en-US" w:eastAsia="zh-CN"/>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重庆市南岸区科学技术局行政规范性</w:t>
    </w:r>
    <w:r>
      <w:rPr>
        <w:rFonts w:hint="eastAsia" w:ascii="宋体" w:hAnsi="宋体" w:eastAsia="宋体" w:cs="宋体"/>
        <w:b/>
        <w:bCs/>
        <w:color w:val="005192"/>
        <w:sz w:val="32"/>
        <w:szCs w:val="32"/>
        <w:lang w:val="en-US" w:eastAsia="zh-Hans"/>
      </w:rPr>
      <w:t>文件</w:t>
    </w:r>
  </w:p>
  <w:p>
    <w:pPr>
      <w:pStyle w:val="7"/>
      <w:keepNext w:val="0"/>
      <w:keepLines w:val="0"/>
      <w:pageBreakBefore w:val="0"/>
      <w:widowControl w:val="0"/>
      <w:kinsoku/>
      <w:wordWrap/>
      <w:overflowPunct/>
      <w:topLinePunct w:val="0"/>
      <w:autoSpaceDE/>
      <w:autoSpaceDN/>
      <w:bidi w:val="0"/>
      <w:adjustRightInd/>
      <w:snapToGrid w:val="0"/>
      <w:textAlignment w:val="center"/>
    </w:pPr>
    <w:r>
      <w:rPr>
        <w:color w:val="FAFAFA"/>
        <w:sz w:val="32"/>
      </w:rPr>
      <mc:AlternateContent>
        <mc:Choice Requires="wps">
          <w:drawing>
            <wp:anchor distT="0" distB="0" distL="114300" distR="114300" simplePos="0" relativeHeight="251671552" behindDoc="0" locked="0" layoutInCell="1" allowOverlap="1">
              <wp:simplePos x="0" y="0"/>
              <wp:positionH relativeFrom="column">
                <wp:posOffset>15240</wp:posOffset>
              </wp:positionH>
              <wp:positionV relativeFrom="paragraph">
                <wp:posOffset>36830</wp:posOffset>
              </wp:positionV>
              <wp:extent cx="5530850" cy="4445"/>
              <wp:effectExtent l="0" t="10795" r="12700" b="13335"/>
              <wp:wrapNone/>
              <wp:docPr id="20" name="直接连接符 20"/>
              <wp:cNvGraphicFramePr/>
              <a:graphic xmlns:a="http://schemas.openxmlformats.org/drawingml/2006/main">
                <a:graphicData uri="http://schemas.microsoft.com/office/word/2010/wordprocessingShape">
                  <wps:wsp>
                    <wps:cNvCnPr/>
                    <wps:spPr>
                      <a:xfrm flipV="1">
                        <a:off x="0" y="0"/>
                        <a:ext cx="5530850" cy="44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pt;margin-top:2.9pt;height:0.35pt;width:435.5pt;z-index:251671552;mso-width-relative:page;mso-height-relative:page;" filled="f" stroked="t" coordsize="21600,21600" o:gfxdata="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1WyRXWAAAABQEAAA8AAAAAAAAAAQAgAAAAIgAAAGRycy9kb3ducmV2LnhtbFBLAQIUABQA&#10;AAAIAIdO4kD+cM+c8gEAAMEDAAAOAAAAAAAAAAEAIAAAACUBAABkcnMvZTJvRG9jLnhtbFBLBQYA&#10;AAAABgAGAFkBAACJBQAAAAA=&#10;">
              <v:fill on="f" focussize="0,0"/>
              <v:stroke weight="1.75pt" color="#005192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5240" b="15240"/>
          <wp:docPr id="21" name="图片 2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重庆市南岸区科学技术局</w:t>
    </w:r>
    <w:r>
      <w:rPr>
        <w:rFonts w:hint="eastAsia" w:ascii="宋体" w:hAnsi="宋体" w:eastAsia="宋体" w:cs="宋体"/>
        <w:b/>
        <w:bCs/>
        <w:color w:val="005192"/>
        <w:sz w:val="32"/>
        <w:szCs w:val="32"/>
        <w:lang w:val="en-US" w:eastAsia="zh-Hans"/>
      </w:rPr>
      <w:t>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73600" behindDoc="0" locked="0" layoutInCell="1" allowOverlap="1">
              <wp:simplePos x="0" y="0"/>
              <wp:positionH relativeFrom="column">
                <wp:posOffset>47625</wp:posOffset>
              </wp:positionH>
              <wp:positionV relativeFrom="paragraph">
                <wp:posOffset>67945</wp:posOffset>
              </wp:positionV>
              <wp:extent cx="5059045" cy="20955"/>
              <wp:effectExtent l="0" t="0" r="0" b="0"/>
              <wp:wrapNone/>
              <wp:docPr id="23" name="直接连接符 23"/>
              <wp:cNvGraphicFramePr/>
              <a:graphic xmlns:a="http://schemas.openxmlformats.org/drawingml/2006/main">
                <a:graphicData uri="http://schemas.microsoft.com/office/word/2010/wordprocessingShape">
                  <wps:wsp>
                    <wps:cNvCnPr/>
                    <wps:spPr>
                      <a:xfrm>
                        <a:off x="0" y="0"/>
                        <a:ext cx="5059045"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5pt;margin-top:5.35pt;height:1.65pt;width:398.35pt;z-index:251673600;mso-width-relative:page;mso-height-relative:page;" filled="f" stroked="t" coordsize="21600,21600" o:gfxdata="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28dH0wAA&#10;AAcBAAAPAAAAAAAAAAEAIAAAACIAAABkcnMvZG93bnJldi54bWxQSwECFAAUAAAACACHTuJABezH&#10;ROoBAAC4AwAADgAAAAAAAAABACAAAAAiAQAAZHJzL2Uyb0RvYy54bWxQSwUGAAAAAAYABgBZAQAA&#10;fgU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E7488"/>
    <w:multiLevelType w:val="singleLevel"/>
    <w:tmpl w:val="9DEE7488"/>
    <w:lvl w:ilvl="0" w:tentative="0">
      <w:start w:val="2"/>
      <w:numFmt w:val="chineseCounting"/>
      <w:suff w:val="nothing"/>
      <w:lvlText w:val="%1、"/>
      <w:lvlJc w:val="left"/>
      <w:pPr>
        <w:ind w:left="640" w:firstLine="0"/>
      </w:pPr>
      <w:rPr>
        <w:rFonts w:hint="eastAsia"/>
      </w:rPr>
    </w:lvl>
  </w:abstractNum>
  <w:abstractNum w:abstractNumId="1">
    <w:nsid w:val="B55AED54"/>
    <w:multiLevelType w:val="singleLevel"/>
    <w:tmpl w:val="B55AED54"/>
    <w:lvl w:ilvl="0" w:tentative="0">
      <w:start w:val="1"/>
      <w:numFmt w:val="chineseCounting"/>
      <w:suff w:val="nothing"/>
      <w:lvlText w:val="（%1）"/>
      <w:lvlJc w:val="left"/>
      <w:rPr>
        <w:rFonts w:hint="eastAsia"/>
      </w:rPr>
    </w:lvl>
  </w:abstractNum>
  <w:abstractNum w:abstractNumId="2">
    <w:nsid w:val="C3432615"/>
    <w:multiLevelType w:val="singleLevel"/>
    <w:tmpl w:val="C3432615"/>
    <w:lvl w:ilvl="0" w:tentative="0">
      <w:start w:val="9"/>
      <w:numFmt w:val="chineseCounting"/>
      <w:suff w:val="nothing"/>
      <w:lvlText w:val="（%1）"/>
      <w:lvlJc w:val="left"/>
      <w:rPr>
        <w:rFonts w:hint="eastAsia"/>
      </w:rPr>
    </w:lvl>
  </w:abstractNum>
  <w:abstractNum w:abstractNumId="3">
    <w:nsid w:val="3EED9D30"/>
    <w:multiLevelType w:val="singleLevel"/>
    <w:tmpl w:val="3EED9D30"/>
    <w:lvl w:ilvl="0" w:tentative="0">
      <w:start w:val="1"/>
      <w:numFmt w:val="chineseCounting"/>
      <w:suff w:val="space"/>
      <w:lvlText w:val="第%1条"/>
      <w:lvlJc w:val="left"/>
      <w:pPr>
        <w:ind w:left="-20"/>
      </w:pPr>
      <w:rPr>
        <w:rFonts w:hint="eastAsia" w:ascii="方正黑体_GBK" w:hAnsi="方正黑体_GBK" w:eastAsia="方正黑体_GBK" w:cs="方正黑体_GBK"/>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YWM5MTU3MWFhMDMzZDE2M2VlNzk3M2U4NTkxNGMifQ=="/>
    <w:docVar w:name="KSO_WPS_MARK_KEY" w:val="92374af9-5e22-4171-a734-1ba5ab86f3ec"/>
  </w:docVars>
  <w:rsids>
    <w:rsidRoot w:val="00172A27"/>
    <w:rsid w:val="019E71BD"/>
    <w:rsid w:val="01E93D58"/>
    <w:rsid w:val="04B679C3"/>
    <w:rsid w:val="05F07036"/>
    <w:rsid w:val="06E00104"/>
    <w:rsid w:val="080F63D8"/>
    <w:rsid w:val="086228D4"/>
    <w:rsid w:val="09341458"/>
    <w:rsid w:val="098254C2"/>
    <w:rsid w:val="0A766EDE"/>
    <w:rsid w:val="0AD64BE8"/>
    <w:rsid w:val="0B0912D7"/>
    <w:rsid w:val="0E025194"/>
    <w:rsid w:val="0EEF0855"/>
    <w:rsid w:val="11DB7C71"/>
    <w:rsid w:val="152D2DCA"/>
    <w:rsid w:val="187168EA"/>
    <w:rsid w:val="196673CA"/>
    <w:rsid w:val="1CF734C9"/>
    <w:rsid w:val="1D905BC0"/>
    <w:rsid w:val="1DEC284C"/>
    <w:rsid w:val="1E6523AC"/>
    <w:rsid w:val="22440422"/>
    <w:rsid w:val="22BB4BBB"/>
    <w:rsid w:val="25EB1AF4"/>
    <w:rsid w:val="2DD05FE1"/>
    <w:rsid w:val="2EAE3447"/>
    <w:rsid w:val="31A15F24"/>
    <w:rsid w:val="36194DF9"/>
    <w:rsid w:val="36FB1DF0"/>
    <w:rsid w:val="395347B5"/>
    <w:rsid w:val="39A232A0"/>
    <w:rsid w:val="39C21D4A"/>
    <w:rsid w:val="39E745AA"/>
    <w:rsid w:val="3B5A6BBB"/>
    <w:rsid w:val="3CA154E3"/>
    <w:rsid w:val="3DAA086A"/>
    <w:rsid w:val="3EDA13A6"/>
    <w:rsid w:val="3FF56C14"/>
    <w:rsid w:val="417B75E9"/>
    <w:rsid w:val="42430A63"/>
    <w:rsid w:val="42F058B7"/>
    <w:rsid w:val="436109F6"/>
    <w:rsid w:val="441A38D4"/>
    <w:rsid w:val="4504239D"/>
    <w:rsid w:val="46426AC0"/>
    <w:rsid w:val="48F650C5"/>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0DD5B9B"/>
    <w:rsid w:val="744E4660"/>
    <w:rsid w:val="753355A2"/>
    <w:rsid w:val="759F1C61"/>
    <w:rsid w:val="769F2DE8"/>
    <w:rsid w:val="76FDEB7C"/>
    <w:rsid w:val="79C65162"/>
    <w:rsid w:val="79EE7E31"/>
    <w:rsid w:val="7C9011D9"/>
    <w:rsid w:val="7C907754"/>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spacing w:line="580" w:lineRule="exact"/>
    </w:pPr>
    <w:rPr>
      <w:rFonts w:ascii="仿宋_GB2312" w:eastAsia="仿宋_GB2312"/>
      <w:sz w:val="30"/>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 A"/>
    <w:qFormat/>
    <w:uiPriority w:val="0"/>
    <w:pPr>
      <w:widowControl w:val="0"/>
      <w:jc w:val="both"/>
    </w:pPr>
    <w:rPr>
      <w:rFonts w:ascii="Times New Roman" w:hAnsi="Times New Roman" w:eastAsia="宋体" w:cs="Times New Roman"/>
      <w:color w:val="000000"/>
      <w:kern w:val="2"/>
      <w:sz w:val="21"/>
      <w:szCs w:val="21"/>
      <w:lang w:val="en-US" w:eastAsia="zh-CN" w:bidi="ar-SA"/>
    </w:rPr>
  </w:style>
  <w:style w:type="paragraph" w:styleId="9">
    <w:name w:val="Normal (Web)"/>
    <w:basedOn w:val="1"/>
    <w:next w:val="7"/>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等线 Light" w:hAnsi="等线 Light" w:eastAsia="方正仿宋_GBK"/>
      <w:b/>
      <w:bCs/>
      <w:sz w:val="32"/>
      <w:szCs w:val="32"/>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BodyText"/>
    <w:basedOn w:val="1"/>
    <w:next w:val="16"/>
    <w:qFormat/>
    <w:uiPriority w:val="0"/>
    <w:pPr>
      <w:widowControl/>
      <w:ind w:left="106"/>
      <w:textAlignment w:val="baseline"/>
    </w:pPr>
    <w:rPr>
      <w:rFonts w:ascii="方正仿宋_GBK" w:hAnsi="方正仿宋_GBK" w:eastAsia="方正仿宋_GBK"/>
      <w:sz w:val="32"/>
      <w:szCs w:val="32"/>
      <w:lang w:val="zh-CN" w:eastAsia="zh-CN" w:bidi="zh-CN"/>
    </w:rPr>
  </w:style>
  <w:style w:type="paragraph" w:customStyle="1" w:styleId="16">
    <w:name w:val="TOC5"/>
    <w:basedOn w:val="1"/>
    <w:next w:val="1"/>
    <w:qFormat/>
    <w:uiPriority w:val="0"/>
    <w:pPr>
      <w:ind w:left="800" w:leftChars="800"/>
    </w:pPr>
    <w:rPr>
      <w:rFonts w:ascii="Calibri" w:hAnsi="Calibri" w:eastAsia="宋体"/>
      <w:sz w:val="21"/>
    </w:rPr>
  </w:style>
  <w:style w:type="paragraph" w:customStyle="1" w:styleId="17">
    <w:name w:val="List Paragraph"/>
    <w:basedOn w:val="1"/>
    <w:qFormat/>
    <w:uiPriority w:val="0"/>
    <w:pPr>
      <w:ind w:firstLine="200" w:firstLineChars="200"/>
    </w:pPr>
    <w:rPr>
      <w:rFonts w:eastAsia="方正仿宋_GBK"/>
      <w:sz w:val="32"/>
    </w:rPr>
  </w:style>
  <w:style w:type="character" w:customStyle="1" w:styleId="18">
    <w:name w:val="NormalCharacter"/>
    <w:semiHidden/>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4453</Words>
  <Characters>4603</Characters>
  <Lines>1</Lines>
  <Paragraphs>1</Paragraphs>
  <TotalTime>3</TotalTime>
  <ScaleCrop>false</ScaleCrop>
  <LinksUpToDate>false</LinksUpToDate>
  <CharactersWithSpaces>4814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2023-10-18T13:46:50Z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48C61CB29D3F4D9384F5922CF0F7FFB4</vt:lpwstr>
  </property>
</Properties>
</file>