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6B72F">
      <w:pPr>
        <w:spacing w:line="539" w:lineRule="exact"/>
        <w:ind w:right="644"/>
        <w:jc w:val="left"/>
        <w:rPr>
          <w:rFonts w:ascii="方正黑体_GBK" w:hAnsi="方正黑体_GBK" w:eastAsia="方正黑体_GBK" w:cs="方正黑体_GBK"/>
          <w:snapToGrid w:val="0"/>
          <w:color w:val="000000"/>
          <w:kern w:val="0"/>
          <w:sz w:val="32"/>
          <w:szCs w:val="32"/>
        </w:rPr>
      </w:pPr>
      <w:bookmarkStart w:id="0" w:name="_GoBack"/>
      <w:bookmarkEnd w:id="0"/>
      <w:r>
        <w:rPr>
          <w:rFonts w:hint="eastAsia" w:ascii="方正黑体_GBK" w:hAnsi="方正黑体_GBK" w:eastAsia="方正黑体_GBK" w:cs="方正黑体_GBK"/>
          <w:snapToGrid w:val="0"/>
          <w:color w:val="000000"/>
          <w:kern w:val="0"/>
          <w:sz w:val="32"/>
          <w:szCs w:val="32"/>
        </w:rPr>
        <w:t>附件1</w:t>
      </w:r>
    </w:p>
    <w:p w14:paraId="0ECC0FD8">
      <w:pPr>
        <w:snapToGrid w:val="0"/>
        <w:spacing w:line="579" w:lineRule="exact"/>
        <w:ind w:right="960"/>
        <w:jc w:val="center"/>
      </w:pPr>
      <w:r>
        <w:rPr>
          <w:rFonts w:hint="eastAsia" w:hAnsi="方正小标宋_GBK" w:eastAsia="方正小标宋_GBK" w:cs="方正小标宋_GBK"/>
          <w:snapToGrid w:val="0"/>
          <w:color w:val="000000"/>
          <w:kern w:val="0"/>
          <w:sz w:val="44"/>
          <w:szCs w:val="44"/>
        </w:rPr>
        <w:t>养老服务机构消防安全风险隐患排查情况统计表</w:t>
      </w:r>
    </w:p>
    <w:tbl>
      <w:tblPr>
        <w:tblStyle w:val="4"/>
        <w:tblW w:w="13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5"/>
        <w:gridCol w:w="8043"/>
        <w:gridCol w:w="2305"/>
        <w:gridCol w:w="1554"/>
      </w:tblGrid>
      <w:tr w14:paraId="44C1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6418DE7B">
            <w:pPr>
              <w:snapToGrid w:val="0"/>
              <w:jc w:val="center"/>
              <w:rPr>
                <w:rFonts w:ascii="Times New Roman" w:hAnsi="Times New Roman" w:eastAsia="方正黑体_GBK" w:cs="Times New Roman"/>
                <w:snapToGrid w:val="0"/>
                <w:color w:val="000000"/>
                <w:kern w:val="0"/>
                <w:szCs w:val="21"/>
              </w:rPr>
            </w:pPr>
            <w:r>
              <w:rPr>
                <w:rFonts w:ascii="Times New Roman" w:eastAsia="方正黑体_GBK" w:cs="Times New Roman"/>
                <w:snapToGrid w:val="0"/>
                <w:color w:val="000000"/>
                <w:kern w:val="0"/>
                <w:szCs w:val="21"/>
              </w:rPr>
              <w:t>序号</w:t>
            </w:r>
          </w:p>
        </w:tc>
        <w:tc>
          <w:tcPr>
            <w:tcW w:w="1375" w:type="dxa"/>
            <w:tcBorders>
              <w:top w:val="single" w:color="auto" w:sz="4" w:space="0"/>
              <w:left w:val="single" w:color="auto" w:sz="4" w:space="0"/>
              <w:bottom w:val="single" w:color="auto" w:sz="4" w:space="0"/>
              <w:right w:val="single" w:color="auto" w:sz="4" w:space="0"/>
            </w:tcBorders>
            <w:vAlign w:val="center"/>
          </w:tcPr>
          <w:p w14:paraId="30D06AF2">
            <w:pPr>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w:t>
            </w:r>
          </w:p>
          <w:p w14:paraId="05C74034">
            <w:pPr>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内容</w:t>
            </w:r>
          </w:p>
        </w:tc>
        <w:tc>
          <w:tcPr>
            <w:tcW w:w="8043" w:type="dxa"/>
            <w:tcBorders>
              <w:top w:val="single" w:color="auto" w:sz="4" w:space="0"/>
              <w:left w:val="single" w:color="auto" w:sz="4" w:space="0"/>
              <w:bottom w:val="single" w:color="auto" w:sz="4" w:space="0"/>
              <w:right w:val="single" w:color="auto" w:sz="4" w:space="0"/>
            </w:tcBorders>
            <w:vAlign w:val="center"/>
          </w:tcPr>
          <w:p w14:paraId="1141B811">
            <w:pPr>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检查标准</w:t>
            </w:r>
          </w:p>
        </w:tc>
        <w:tc>
          <w:tcPr>
            <w:tcW w:w="2305" w:type="dxa"/>
            <w:tcBorders>
              <w:top w:val="single" w:color="auto" w:sz="4" w:space="0"/>
              <w:left w:val="single" w:color="auto" w:sz="4" w:space="0"/>
              <w:bottom w:val="single" w:color="auto" w:sz="4" w:space="0"/>
              <w:right w:val="single" w:color="auto" w:sz="4" w:space="0"/>
            </w:tcBorders>
            <w:vAlign w:val="center"/>
          </w:tcPr>
          <w:p w14:paraId="62C72640">
            <w:pPr>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检查方法</w:t>
            </w:r>
          </w:p>
        </w:tc>
        <w:tc>
          <w:tcPr>
            <w:tcW w:w="1554" w:type="dxa"/>
            <w:tcBorders>
              <w:top w:val="single" w:color="auto" w:sz="4" w:space="0"/>
              <w:left w:val="single" w:color="auto" w:sz="4" w:space="0"/>
              <w:bottom w:val="single" w:color="auto" w:sz="4" w:space="0"/>
              <w:right w:val="single" w:color="auto" w:sz="4" w:space="0"/>
            </w:tcBorders>
            <w:vAlign w:val="center"/>
          </w:tcPr>
          <w:p w14:paraId="0F00D420">
            <w:pPr>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问题隐患及风险等级</w:t>
            </w:r>
          </w:p>
        </w:tc>
      </w:tr>
      <w:tr w14:paraId="798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tcBorders>
              <w:left w:val="single" w:color="auto" w:sz="4" w:space="0"/>
              <w:right w:val="single" w:color="auto" w:sz="4" w:space="0"/>
            </w:tcBorders>
            <w:vAlign w:val="center"/>
          </w:tcPr>
          <w:p w14:paraId="460D2140">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w:t>
            </w:r>
          </w:p>
        </w:tc>
        <w:tc>
          <w:tcPr>
            <w:tcW w:w="1375" w:type="dxa"/>
            <w:tcBorders>
              <w:top w:val="single" w:color="auto" w:sz="4" w:space="0"/>
              <w:left w:val="single" w:color="auto" w:sz="4" w:space="0"/>
              <w:bottom w:val="single" w:color="auto" w:sz="4" w:space="0"/>
              <w:right w:val="single" w:color="auto" w:sz="4" w:space="0"/>
            </w:tcBorders>
            <w:vAlign w:val="center"/>
          </w:tcPr>
          <w:p w14:paraId="3192B197">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单位办理消</w:t>
            </w:r>
          </w:p>
          <w:p w14:paraId="4104EA21">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防手续情况</w:t>
            </w:r>
          </w:p>
        </w:tc>
        <w:tc>
          <w:tcPr>
            <w:tcW w:w="8043" w:type="dxa"/>
            <w:tcBorders>
              <w:top w:val="single" w:color="auto" w:sz="4" w:space="0"/>
              <w:left w:val="single" w:color="auto" w:sz="4" w:space="0"/>
              <w:bottom w:val="single" w:color="auto" w:sz="4" w:space="0"/>
              <w:right w:val="single" w:color="auto" w:sz="4" w:space="0"/>
            </w:tcBorders>
            <w:vAlign w:val="center"/>
          </w:tcPr>
          <w:p w14:paraId="03F1EED4">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单位应办理消防验收或竣工验收备案等手续。</w:t>
            </w:r>
          </w:p>
        </w:tc>
        <w:tc>
          <w:tcPr>
            <w:tcW w:w="2305" w:type="dxa"/>
            <w:tcBorders>
              <w:top w:val="single" w:color="auto" w:sz="4" w:space="0"/>
              <w:left w:val="single" w:color="auto" w:sz="4" w:space="0"/>
              <w:bottom w:val="single" w:color="auto" w:sz="4" w:space="0"/>
              <w:right w:val="single" w:color="auto" w:sz="4" w:space="0"/>
            </w:tcBorders>
            <w:vAlign w:val="center"/>
          </w:tcPr>
          <w:p w14:paraId="79B90349">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查阅资料，提供消防或住建部门出具的文书。</w:t>
            </w:r>
          </w:p>
        </w:tc>
        <w:tc>
          <w:tcPr>
            <w:tcW w:w="1554" w:type="dxa"/>
            <w:tcBorders>
              <w:top w:val="single" w:color="auto" w:sz="4" w:space="0"/>
              <w:left w:val="single" w:color="auto" w:sz="4" w:space="0"/>
              <w:bottom w:val="single" w:color="auto" w:sz="4" w:space="0"/>
              <w:right w:val="single" w:color="auto" w:sz="4" w:space="0"/>
            </w:tcBorders>
            <w:vAlign w:val="center"/>
          </w:tcPr>
          <w:p w14:paraId="557627B2">
            <w:pPr>
              <w:snapToGrid w:val="0"/>
              <w:rPr>
                <w:rFonts w:cs="方正小标宋_GBK"/>
                <w:snapToGrid w:val="0"/>
                <w:color w:val="000000"/>
                <w:kern w:val="0"/>
                <w:szCs w:val="21"/>
              </w:rPr>
            </w:pPr>
          </w:p>
        </w:tc>
      </w:tr>
      <w:tr w14:paraId="5A57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09" w:type="dxa"/>
            <w:tcBorders>
              <w:left w:val="single" w:color="auto" w:sz="4" w:space="0"/>
              <w:right w:val="single" w:color="auto" w:sz="4" w:space="0"/>
            </w:tcBorders>
            <w:vAlign w:val="center"/>
          </w:tcPr>
          <w:p w14:paraId="3170601E">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w:t>
            </w:r>
          </w:p>
        </w:tc>
        <w:tc>
          <w:tcPr>
            <w:tcW w:w="1375" w:type="dxa"/>
            <w:tcBorders>
              <w:top w:val="single" w:color="auto" w:sz="4" w:space="0"/>
              <w:left w:val="single" w:color="auto" w:sz="4" w:space="0"/>
              <w:bottom w:val="single" w:color="auto" w:sz="4" w:space="0"/>
              <w:right w:val="single" w:color="auto" w:sz="4" w:space="0"/>
            </w:tcBorders>
            <w:vAlign w:val="center"/>
          </w:tcPr>
          <w:p w14:paraId="5C80EE82">
            <w:pPr>
              <w:snapToGrid w:val="0"/>
              <w:rPr>
                <w:rFonts w:cs="方正小标宋_GBK"/>
                <w:snapToGrid w:val="0"/>
                <w:color w:val="000000"/>
                <w:kern w:val="0"/>
                <w:sz w:val="18"/>
                <w:szCs w:val="18"/>
              </w:rPr>
            </w:pPr>
            <w:r>
              <w:rPr>
                <w:rFonts w:hint="eastAsia" w:cs="方正小标宋_GBK"/>
                <w:snapToGrid w:val="0"/>
                <w:color w:val="000000"/>
                <w:kern w:val="0"/>
                <w:sz w:val="18"/>
                <w:szCs w:val="18"/>
              </w:rPr>
              <w:t>按要求建立健全消防安全制度。</w:t>
            </w:r>
          </w:p>
        </w:tc>
        <w:tc>
          <w:tcPr>
            <w:tcW w:w="8043" w:type="dxa"/>
            <w:tcBorders>
              <w:top w:val="single" w:color="auto" w:sz="4" w:space="0"/>
              <w:left w:val="single" w:color="auto" w:sz="4" w:space="0"/>
              <w:bottom w:val="single" w:color="auto" w:sz="4" w:space="0"/>
              <w:right w:val="single" w:color="auto" w:sz="4" w:space="0"/>
            </w:tcBorders>
            <w:vAlign w:val="center"/>
          </w:tcPr>
          <w:p w14:paraId="44159E48">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单位应建立健全6类制度。即：消防安全宣传教育培训及灭火和应急疏散预案演练制度；防火巡查、检查及火灾隐患整改制度；安全疏散设施管理和消防设施、器材维护管理制度；用火、用电安全管理，燃气和电气设备维护管理制度；消防（控制室）值班制度；专职消防队、志愿消防队组织管理制度。</w:t>
            </w:r>
          </w:p>
        </w:tc>
        <w:tc>
          <w:tcPr>
            <w:tcW w:w="2305" w:type="dxa"/>
            <w:tcBorders>
              <w:top w:val="single" w:color="auto" w:sz="4" w:space="0"/>
              <w:left w:val="single" w:color="auto" w:sz="4" w:space="0"/>
              <w:bottom w:val="single" w:color="auto" w:sz="4" w:space="0"/>
              <w:right w:val="single" w:color="auto" w:sz="4" w:space="0"/>
            </w:tcBorders>
            <w:vAlign w:val="center"/>
          </w:tcPr>
          <w:p w14:paraId="505DC0E2">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查阅资料，逐一核对。</w:t>
            </w:r>
          </w:p>
        </w:tc>
        <w:tc>
          <w:tcPr>
            <w:tcW w:w="1554" w:type="dxa"/>
            <w:tcBorders>
              <w:top w:val="single" w:color="auto" w:sz="4" w:space="0"/>
              <w:left w:val="single" w:color="auto" w:sz="4" w:space="0"/>
              <w:bottom w:val="single" w:color="auto" w:sz="4" w:space="0"/>
              <w:right w:val="single" w:color="auto" w:sz="4" w:space="0"/>
            </w:tcBorders>
            <w:vAlign w:val="center"/>
          </w:tcPr>
          <w:p w14:paraId="67103F3A">
            <w:pPr>
              <w:snapToGrid w:val="0"/>
              <w:rPr>
                <w:rFonts w:cs="方正小标宋_GBK"/>
                <w:snapToGrid w:val="0"/>
                <w:color w:val="000000"/>
                <w:kern w:val="0"/>
                <w:szCs w:val="21"/>
              </w:rPr>
            </w:pPr>
          </w:p>
        </w:tc>
      </w:tr>
      <w:tr w14:paraId="1188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9" w:type="dxa"/>
            <w:tcBorders>
              <w:left w:val="single" w:color="auto" w:sz="4" w:space="0"/>
              <w:right w:val="single" w:color="auto" w:sz="4" w:space="0"/>
            </w:tcBorders>
            <w:vAlign w:val="center"/>
          </w:tcPr>
          <w:p w14:paraId="6CBA6858">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w:t>
            </w:r>
          </w:p>
        </w:tc>
        <w:tc>
          <w:tcPr>
            <w:tcW w:w="1375" w:type="dxa"/>
            <w:tcBorders>
              <w:top w:val="single" w:color="auto" w:sz="4" w:space="0"/>
              <w:left w:val="single" w:color="auto" w:sz="4" w:space="0"/>
              <w:bottom w:val="single" w:color="auto" w:sz="4" w:space="0"/>
              <w:right w:val="single" w:color="auto" w:sz="4" w:space="0"/>
            </w:tcBorders>
            <w:vAlign w:val="center"/>
          </w:tcPr>
          <w:p w14:paraId="47F9CAA9">
            <w:pPr>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单位消防安全责任人职责落实情况</w:t>
            </w:r>
          </w:p>
        </w:tc>
        <w:tc>
          <w:tcPr>
            <w:tcW w:w="8043" w:type="dxa"/>
            <w:tcBorders>
              <w:top w:val="single" w:color="auto" w:sz="4" w:space="0"/>
              <w:left w:val="single" w:color="auto" w:sz="4" w:space="0"/>
              <w:bottom w:val="single" w:color="auto" w:sz="4" w:space="0"/>
              <w:right w:val="single" w:color="auto" w:sz="4" w:space="0"/>
            </w:tcBorders>
            <w:vAlign w:val="center"/>
          </w:tcPr>
          <w:p w14:paraId="2EDD62A6">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 xml:space="preserve"> 单位消防安全责任人（一般为机构主要负责人）应明确并清楚以下职责：掌握本单位的消防安全情况；批准实施年度消防工作计划；组织防火检查，督促落实火灾隐患整改，及时处理涉及消防安全的重大问题；根据消防法规的规定建立专职消防队、志愿消防队；组织制订符合本单位实际的灭火和应急疏散预案，并实施演练。</w:t>
            </w:r>
          </w:p>
        </w:tc>
        <w:tc>
          <w:tcPr>
            <w:tcW w:w="2305" w:type="dxa"/>
            <w:tcBorders>
              <w:top w:val="single" w:color="auto" w:sz="4" w:space="0"/>
              <w:left w:val="single" w:color="auto" w:sz="4" w:space="0"/>
              <w:bottom w:val="single" w:color="auto" w:sz="4" w:space="0"/>
              <w:right w:val="single" w:color="auto" w:sz="4" w:space="0"/>
            </w:tcBorders>
            <w:vAlign w:val="center"/>
          </w:tcPr>
          <w:p w14:paraId="016E0AB9">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 xml:space="preserve"> 查阅单位确定消防安全责任人的资料；随机提问，询问消防安全责任人每项责任具体落实情况。</w:t>
            </w:r>
          </w:p>
        </w:tc>
        <w:tc>
          <w:tcPr>
            <w:tcW w:w="1554" w:type="dxa"/>
            <w:tcBorders>
              <w:top w:val="single" w:color="auto" w:sz="4" w:space="0"/>
              <w:left w:val="single" w:color="auto" w:sz="4" w:space="0"/>
              <w:bottom w:val="single" w:color="auto" w:sz="4" w:space="0"/>
              <w:right w:val="single" w:color="auto" w:sz="4" w:space="0"/>
            </w:tcBorders>
            <w:vAlign w:val="center"/>
          </w:tcPr>
          <w:p w14:paraId="2E724F3B">
            <w:pPr>
              <w:snapToGrid w:val="0"/>
              <w:rPr>
                <w:rFonts w:cs="方正小标宋_GBK"/>
                <w:snapToGrid w:val="0"/>
                <w:color w:val="000000"/>
                <w:kern w:val="0"/>
                <w:szCs w:val="21"/>
              </w:rPr>
            </w:pPr>
          </w:p>
        </w:tc>
      </w:tr>
      <w:tr w14:paraId="714B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09" w:type="dxa"/>
            <w:tcBorders>
              <w:left w:val="single" w:color="auto" w:sz="4" w:space="0"/>
              <w:right w:val="single" w:color="auto" w:sz="4" w:space="0"/>
            </w:tcBorders>
            <w:vAlign w:val="center"/>
          </w:tcPr>
          <w:p w14:paraId="4843AF40">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4</w:t>
            </w:r>
          </w:p>
        </w:tc>
        <w:tc>
          <w:tcPr>
            <w:tcW w:w="1375" w:type="dxa"/>
            <w:tcBorders>
              <w:top w:val="single" w:color="auto" w:sz="4" w:space="0"/>
              <w:left w:val="single" w:color="auto" w:sz="4" w:space="0"/>
              <w:bottom w:val="single" w:color="auto" w:sz="4" w:space="0"/>
              <w:right w:val="single" w:color="auto" w:sz="4" w:space="0"/>
            </w:tcBorders>
            <w:vAlign w:val="center"/>
          </w:tcPr>
          <w:p w14:paraId="0534AA30">
            <w:pPr>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单位消防安全管理人职责落实情况</w:t>
            </w:r>
          </w:p>
        </w:tc>
        <w:tc>
          <w:tcPr>
            <w:tcW w:w="8043" w:type="dxa"/>
            <w:tcBorders>
              <w:top w:val="single" w:color="auto" w:sz="4" w:space="0"/>
              <w:left w:val="single" w:color="auto" w:sz="4" w:space="0"/>
              <w:bottom w:val="single" w:color="auto" w:sz="4" w:space="0"/>
              <w:right w:val="single" w:color="auto" w:sz="4" w:space="0"/>
            </w:tcBorders>
            <w:vAlign w:val="center"/>
          </w:tcPr>
          <w:p w14:paraId="3D6CAD12">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 xml:space="preserve"> 单位消防安全管理人应明确并清楚以下职责：拟订年度消防工作计划，组织实施日常消防安全管理工作；组织制定消防安全制度和保障消防安全的操作规程并检查督促其落实；拟订消防安全工作的资金投入和组织保障方案；组织实施防火检查和火灾隐患整改工作；组织实施对本单位消防设施、灭火器材和消防安全标志的维护保养，确保其完好有效，确保疏散通道和安全出口畅通；组织管理专职、志愿消防队；在员工中组织开展消防知识、技能的宣传教育和培训，组织灭火和应急疏散预案的实施和演练；定期向消防安全责任人报告消防安全情况，及时报告涉及消防安全的重大问题。</w:t>
            </w:r>
          </w:p>
        </w:tc>
        <w:tc>
          <w:tcPr>
            <w:tcW w:w="2305" w:type="dxa"/>
            <w:tcBorders>
              <w:top w:val="single" w:color="auto" w:sz="4" w:space="0"/>
              <w:left w:val="single" w:color="auto" w:sz="4" w:space="0"/>
              <w:bottom w:val="single" w:color="auto" w:sz="4" w:space="0"/>
              <w:right w:val="single" w:color="auto" w:sz="4" w:space="0"/>
            </w:tcBorders>
            <w:vAlign w:val="center"/>
          </w:tcPr>
          <w:p w14:paraId="4FFB0AE1">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查阅单位确定消防安全管理人的资料；随机提问，询问消防安全管理人每项责任具体落实情况。</w:t>
            </w:r>
          </w:p>
        </w:tc>
        <w:tc>
          <w:tcPr>
            <w:tcW w:w="1554" w:type="dxa"/>
            <w:tcBorders>
              <w:top w:val="single" w:color="auto" w:sz="4" w:space="0"/>
              <w:left w:val="single" w:color="auto" w:sz="4" w:space="0"/>
              <w:bottom w:val="single" w:color="auto" w:sz="4" w:space="0"/>
              <w:right w:val="single" w:color="auto" w:sz="4" w:space="0"/>
            </w:tcBorders>
            <w:vAlign w:val="center"/>
          </w:tcPr>
          <w:p w14:paraId="2CAE30C9">
            <w:pPr>
              <w:snapToGrid w:val="0"/>
              <w:rPr>
                <w:rFonts w:cs="方正小标宋_GBK"/>
                <w:snapToGrid w:val="0"/>
                <w:color w:val="000000"/>
                <w:kern w:val="0"/>
                <w:szCs w:val="21"/>
              </w:rPr>
            </w:pPr>
          </w:p>
        </w:tc>
      </w:tr>
      <w:tr w14:paraId="6EB5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tcBorders>
              <w:left w:val="single" w:color="auto" w:sz="4" w:space="0"/>
              <w:right w:val="single" w:color="auto" w:sz="4" w:space="0"/>
            </w:tcBorders>
            <w:vAlign w:val="center"/>
          </w:tcPr>
          <w:p w14:paraId="6D56F2EE">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5</w:t>
            </w:r>
          </w:p>
        </w:tc>
        <w:tc>
          <w:tcPr>
            <w:tcW w:w="1375" w:type="dxa"/>
            <w:tcBorders>
              <w:top w:val="single" w:color="auto" w:sz="4" w:space="0"/>
              <w:left w:val="single" w:color="auto" w:sz="4" w:space="0"/>
              <w:right w:val="single" w:color="auto" w:sz="4" w:space="0"/>
            </w:tcBorders>
            <w:vAlign w:val="center"/>
          </w:tcPr>
          <w:p w14:paraId="17E9159F">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单位专兼职消防安全管理人员职责</w:t>
            </w:r>
          </w:p>
          <w:p w14:paraId="26D95A05">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落实情况</w:t>
            </w:r>
          </w:p>
        </w:tc>
        <w:tc>
          <w:tcPr>
            <w:tcW w:w="8043" w:type="dxa"/>
            <w:tcBorders>
              <w:top w:val="single" w:color="auto" w:sz="4" w:space="0"/>
              <w:left w:val="single" w:color="auto" w:sz="4" w:space="0"/>
              <w:bottom w:val="single" w:color="auto" w:sz="4" w:space="0"/>
              <w:right w:val="single" w:color="auto" w:sz="4" w:space="0"/>
            </w:tcBorders>
            <w:vAlign w:val="center"/>
          </w:tcPr>
          <w:p w14:paraId="4E205115">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专兼职消防安全管理人员应明确并清楚以下职责：根据年度消防工作计划，实施日常消防安全管理工作；制定消防安全制度和消防安全操作规程，并督促落实；实施防火检查，督促火灾隐患整改；督促对消防设施、器材和消防安全标志的完好有效情况进行检查和维修保养；管理专职消防队、志愿消防队；开展消防知识、技能的宣传教育和培训，制订灭火和应急疏散预案并组织消防演练；及时向消防安全管理人报告消防安全情况。</w:t>
            </w:r>
          </w:p>
        </w:tc>
        <w:tc>
          <w:tcPr>
            <w:tcW w:w="2305" w:type="dxa"/>
            <w:tcBorders>
              <w:top w:val="single" w:color="auto" w:sz="4" w:space="0"/>
              <w:left w:val="single" w:color="auto" w:sz="4" w:space="0"/>
              <w:bottom w:val="single" w:color="auto" w:sz="4" w:space="0"/>
              <w:right w:val="single" w:color="auto" w:sz="4" w:space="0"/>
            </w:tcBorders>
            <w:vAlign w:val="center"/>
          </w:tcPr>
          <w:p w14:paraId="498CAB43">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查阅资料；随机提问，询问专兼职消防安全管理人员每项责任具体落实情况。</w:t>
            </w:r>
          </w:p>
        </w:tc>
        <w:tc>
          <w:tcPr>
            <w:tcW w:w="1554" w:type="dxa"/>
            <w:tcBorders>
              <w:top w:val="single" w:color="auto" w:sz="4" w:space="0"/>
              <w:left w:val="single" w:color="auto" w:sz="4" w:space="0"/>
              <w:bottom w:val="single" w:color="auto" w:sz="4" w:space="0"/>
              <w:right w:val="single" w:color="auto" w:sz="4" w:space="0"/>
            </w:tcBorders>
            <w:vAlign w:val="center"/>
          </w:tcPr>
          <w:p w14:paraId="749D7DF1">
            <w:pPr>
              <w:keepNext/>
              <w:keepLines/>
              <w:snapToGrid w:val="0"/>
              <w:spacing w:before="260" w:after="260" w:line="416" w:lineRule="auto"/>
              <w:rPr>
                <w:rFonts w:cs="方正小标宋_GBK"/>
                <w:snapToGrid w:val="0"/>
                <w:color w:val="000000"/>
                <w:kern w:val="0"/>
                <w:szCs w:val="21"/>
              </w:rPr>
            </w:pPr>
          </w:p>
        </w:tc>
      </w:tr>
      <w:tr w14:paraId="3BEA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9" w:type="dxa"/>
            <w:tcBorders>
              <w:left w:val="single" w:color="auto" w:sz="4" w:space="0"/>
              <w:right w:val="single" w:color="auto" w:sz="4" w:space="0"/>
            </w:tcBorders>
            <w:vAlign w:val="center"/>
          </w:tcPr>
          <w:p w14:paraId="13EC5BA4">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6</w:t>
            </w:r>
          </w:p>
        </w:tc>
        <w:tc>
          <w:tcPr>
            <w:tcW w:w="1375" w:type="dxa"/>
            <w:tcBorders>
              <w:left w:val="single" w:color="auto" w:sz="4" w:space="0"/>
              <w:right w:val="single" w:color="auto" w:sz="4" w:space="0"/>
            </w:tcBorders>
            <w:vAlign w:val="center"/>
          </w:tcPr>
          <w:p w14:paraId="1F8ADAFB">
            <w:pPr>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归口管理部门设立情况</w:t>
            </w:r>
          </w:p>
        </w:tc>
        <w:tc>
          <w:tcPr>
            <w:tcW w:w="8043" w:type="dxa"/>
            <w:tcBorders>
              <w:top w:val="single" w:color="auto" w:sz="4" w:space="0"/>
              <w:left w:val="single" w:color="auto" w:sz="4" w:space="0"/>
              <w:bottom w:val="single" w:color="auto" w:sz="4" w:space="0"/>
              <w:right w:val="single" w:color="auto" w:sz="4" w:space="0"/>
            </w:tcBorders>
            <w:vAlign w:val="center"/>
          </w:tcPr>
          <w:p w14:paraId="2575A7E5">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有内设机构的养老服务机构应设置或确定消防工作归口管理职能部门。</w:t>
            </w:r>
          </w:p>
        </w:tc>
        <w:tc>
          <w:tcPr>
            <w:tcW w:w="2305" w:type="dxa"/>
            <w:tcBorders>
              <w:top w:val="single" w:color="auto" w:sz="4" w:space="0"/>
              <w:left w:val="single" w:color="auto" w:sz="4" w:space="0"/>
              <w:bottom w:val="single" w:color="auto" w:sz="4" w:space="0"/>
              <w:right w:val="single" w:color="auto" w:sz="4" w:space="0"/>
            </w:tcBorders>
            <w:vAlign w:val="center"/>
          </w:tcPr>
          <w:p w14:paraId="5D9E4A52">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w:t>
            </w:r>
          </w:p>
        </w:tc>
        <w:tc>
          <w:tcPr>
            <w:tcW w:w="1554" w:type="dxa"/>
            <w:tcBorders>
              <w:top w:val="single" w:color="auto" w:sz="4" w:space="0"/>
              <w:left w:val="single" w:color="auto" w:sz="4" w:space="0"/>
              <w:bottom w:val="single" w:color="auto" w:sz="4" w:space="0"/>
              <w:right w:val="single" w:color="auto" w:sz="4" w:space="0"/>
            </w:tcBorders>
            <w:vAlign w:val="center"/>
          </w:tcPr>
          <w:p w14:paraId="78B08730">
            <w:pPr>
              <w:snapToGrid w:val="0"/>
              <w:rPr>
                <w:rFonts w:cs="方正小标宋_GBK"/>
                <w:snapToGrid w:val="0"/>
                <w:color w:val="000000"/>
                <w:kern w:val="0"/>
                <w:szCs w:val="21"/>
              </w:rPr>
            </w:pPr>
          </w:p>
        </w:tc>
      </w:tr>
      <w:tr w14:paraId="05DF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9" w:type="dxa"/>
            <w:tcBorders>
              <w:left w:val="single" w:color="auto" w:sz="4" w:space="0"/>
              <w:right w:val="single" w:color="auto" w:sz="4" w:space="0"/>
            </w:tcBorders>
            <w:vAlign w:val="center"/>
          </w:tcPr>
          <w:p w14:paraId="44B15D4E">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7</w:t>
            </w:r>
          </w:p>
        </w:tc>
        <w:tc>
          <w:tcPr>
            <w:tcW w:w="1375" w:type="dxa"/>
            <w:tcBorders>
              <w:left w:val="single" w:color="auto" w:sz="4" w:space="0"/>
              <w:bottom w:val="single" w:color="auto" w:sz="4" w:space="0"/>
              <w:right w:val="single" w:color="auto" w:sz="4" w:space="0"/>
            </w:tcBorders>
            <w:vAlign w:val="center"/>
          </w:tcPr>
          <w:p w14:paraId="33066A5B">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防火检查巡查情况</w:t>
            </w:r>
          </w:p>
        </w:tc>
        <w:tc>
          <w:tcPr>
            <w:tcW w:w="8043" w:type="dxa"/>
            <w:tcBorders>
              <w:top w:val="single" w:color="auto" w:sz="4" w:space="0"/>
              <w:left w:val="single" w:color="auto" w:sz="4" w:space="0"/>
              <w:bottom w:val="single" w:color="auto" w:sz="4" w:space="0"/>
              <w:right w:val="single" w:color="auto" w:sz="4" w:space="0"/>
            </w:tcBorders>
            <w:vAlign w:val="center"/>
          </w:tcPr>
          <w:p w14:paraId="47F84CBA">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防火检查每月不少于1次。应开展每日防火巡查，其中夜间防火巡查每天不少于两次。防火巡查检查情况应记录在《防火巡查检查记录》表上，不得提前或延迟填写。属于火灾高危单位的，应开展间隔不超过两小时的昼夜防火巡查。</w:t>
            </w:r>
          </w:p>
        </w:tc>
        <w:tc>
          <w:tcPr>
            <w:tcW w:w="2305" w:type="dxa"/>
            <w:tcBorders>
              <w:top w:val="single" w:color="auto" w:sz="4" w:space="0"/>
              <w:left w:val="single" w:color="auto" w:sz="4" w:space="0"/>
              <w:bottom w:val="single" w:color="auto" w:sz="4" w:space="0"/>
              <w:right w:val="single" w:color="auto" w:sz="4" w:space="0"/>
            </w:tcBorders>
            <w:vAlign w:val="center"/>
          </w:tcPr>
          <w:p w14:paraId="5702D698">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查阅《防火巡查检查记录》，所有涉及的检查项目应准确填写，与现场情况一致。</w:t>
            </w:r>
          </w:p>
        </w:tc>
        <w:tc>
          <w:tcPr>
            <w:tcW w:w="1554" w:type="dxa"/>
            <w:tcBorders>
              <w:top w:val="single" w:color="auto" w:sz="4" w:space="0"/>
              <w:left w:val="single" w:color="auto" w:sz="4" w:space="0"/>
              <w:bottom w:val="single" w:color="auto" w:sz="4" w:space="0"/>
              <w:right w:val="single" w:color="auto" w:sz="4" w:space="0"/>
            </w:tcBorders>
            <w:vAlign w:val="center"/>
          </w:tcPr>
          <w:p w14:paraId="3479C4DF">
            <w:pPr>
              <w:snapToGrid w:val="0"/>
              <w:rPr>
                <w:rFonts w:cs="方正小标宋_GBK"/>
                <w:snapToGrid w:val="0"/>
                <w:color w:val="000000"/>
                <w:kern w:val="0"/>
                <w:szCs w:val="21"/>
              </w:rPr>
            </w:pPr>
          </w:p>
        </w:tc>
      </w:tr>
      <w:tr w14:paraId="1BDF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tcBorders>
              <w:left w:val="single" w:color="auto" w:sz="4" w:space="0"/>
              <w:right w:val="single" w:color="auto" w:sz="4" w:space="0"/>
            </w:tcBorders>
            <w:vAlign w:val="center"/>
          </w:tcPr>
          <w:p w14:paraId="0BCC3D0B">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8</w:t>
            </w:r>
          </w:p>
        </w:tc>
        <w:tc>
          <w:tcPr>
            <w:tcW w:w="1375" w:type="dxa"/>
            <w:tcBorders>
              <w:left w:val="single" w:color="auto" w:sz="4" w:space="0"/>
              <w:bottom w:val="single" w:color="auto" w:sz="4" w:space="0"/>
              <w:right w:val="single" w:color="auto" w:sz="4" w:space="0"/>
            </w:tcBorders>
            <w:vAlign w:val="center"/>
          </w:tcPr>
          <w:p w14:paraId="0256AD04">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消防设施</w:t>
            </w:r>
          </w:p>
          <w:p w14:paraId="0A06CF51">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维护保养</w:t>
            </w:r>
          </w:p>
          <w:p w14:paraId="2D06AF72">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及检测情况</w:t>
            </w:r>
          </w:p>
        </w:tc>
        <w:tc>
          <w:tcPr>
            <w:tcW w:w="8043" w:type="dxa"/>
            <w:tcBorders>
              <w:top w:val="single" w:color="auto" w:sz="4" w:space="0"/>
              <w:left w:val="single" w:color="auto" w:sz="4" w:space="0"/>
              <w:bottom w:val="single" w:color="auto" w:sz="4" w:space="0"/>
              <w:right w:val="single" w:color="auto" w:sz="4" w:space="0"/>
            </w:tcBorders>
            <w:vAlign w:val="center"/>
          </w:tcPr>
          <w:p w14:paraId="3B327ADB">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设有自动消防设施的（自动喷水灭火系统、火灾自动报警系统、机械防排烟系统等），应委托具有相应资质的消防技术服务机构进行维护保养和检测，消防设施设备不应有腐锈蚀现象，建筑消防设施单项检查每月至少</w:t>
            </w:r>
            <w:r>
              <w:rPr>
                <w:rFonts w:cs="方正小标宋_GBK"/>
                <w:snapToGrid w:val="0"/>
                <w:color w:val="000000"/>
                <w:kern w:val="0"/>
                <w:sz w:val="18"/>
                <w:szCs w:val="18"/>
              </w:rPr>
              <w:t>1</w:t>
            </w:r>
            <w:r>
              <w:rPr>
                <w:rFonts w:hint="eastAsia" w:hAnsi="宋体" w:cs="方正小标宋_GBK"/>
                <w:snapToGrid w:val="0"/>
                <w:color w:val="000000"/>
                <w:kern w:val="0"/>
                <w:sz w:val="18"/>
                <w:szCs w:val="18"/>
              </w:rPr>
              <w:t>次，联动检查每季度至少</w:t>
            </w:r>
            <w:r>
              <w:rPr>
                <w:rFonts w:cs="方正小标宋_GBK"/>
                <w:snapToGrid w:val="0"/>
                <w:color w:val="000000"/>
                <w:kern w:val="0"/>
                <w:sz w:val="18"/>
                <w:szCs w:val="18"/>
              </w:rPr>
              <w:t>1</w:t>
            </w:r>
            <w:r>
              <w:rPr>
                <w:rFonts w:hint="eastAsia" w:hAnsi="宋体" w:cs="方正小标宋_GBK"/>
                <w:snapToGrid w:val="0"/>
                <w:color w:val="000000"/>
                <w:kern w:val="0"/>
                <w:sz w:val="18"/>
                <w:szCs w:val="18"/>
              </w:rPr>
              <w:t>次，全面检测每年至少</w:t>
            </w:r>
            <w:r>
              <w:rPr>
                <w:rFonts w:cs="方正小标宋_GBK"/>
                <w:snapToGrid w:val="0"/>
                <w:color w:val="000000"/>
                <w:kern w:val="0"/>
                <w:sz w:val="18"/>
                <w:szCs w:val="18"/>
              </w:rPr>
              <w:t>1</w:t>
            </w:r>
            <w:r>
              <w:rPr>
                <w:rFonts w:hint="eastAsia" w:hAnsi="宋体" w:cs="方正小标宋_GBK"/>
                <w:snapToGrid w:val="0"/>
                <w:color w:val="000000"/>
                <w:kern w:val="0"/>
                <w:sz w:val="18"/>
                <w:szCs w:val="18"/>
              </w:rPr>
              <w:t>次。</w:t>
            </w:r>
          </w:p>
        </w:tc>
        <w:tc>
          <w:tcPr>
            <w:tcW w:w="2305" w:type="dxa"/>
            <w:tcBorders>
              <w:top w:val="single" w:color="auto" w:sz="4" w:space="0"/>
              <w:left w:val="single" w:color="auto" w:sz="4" w:space="0"/>
              <w:bottom w:val="single" w:color="auto" w:sz="4" w:space="0"/>
              <w:right w:val="single" w:color="auto" w:sz="4" w:space="0"/>
            </w:tcBorders>
            <w:vAlign w:val="center"/>
          </w:tcPr>
          <w:p w14:paraId="3435CC2A">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查阅资料，提供与消防技术服务机构出具的维保、检测合同及消防技术服务机构的维保、检测资质证书，核对维护、检测频次。</w:t>
            </w:r>
          </w:p>
        </w:tc>
        <w:tc>
          <w:tcPr>
            <w:tcW w:w="1554" w:type="dxa"/>
            <w:tcBorders>
              <w:top w:val="single" w:color="auto" w:sz="4" w:space="0"/>
              <w:left w:val="single" w:color="auto" w:sz="4" w:space="0"/>
              <w:bottom w:val="single" w:color="auto" w:sz="4" w:space="0"/>
              <w:right w:val="single" w:color="auto" w:sz="4" w:space="0"/>
            </w:tcBorders>
            <w:vAlign w:val="center"/>
          </w:tcPr>
          <w:p w14:paraId="338C2D82">
            <w:pPr>
              <w:snapToGrid w:val="0"/>
              <w:rPr>
                <w:rFonts w:cs="方正小标宋_GBK"/>
                <w:snapToGrid w:val="0"/>
                <w:color w:val="000000"/>
                <w:kern w:val="0"/>
                <w:szCs w:val="21"/>
              </w:rPr>
            </w:pPr>
          </w:p>
        </w:tc>
      </w:tr>
      <w:tr w14:paraId="23E0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709" w:type="dxa"/>
            <w:tcBorders>
              <w:left w:val="single" w:color="auto" w:sz="4" w:space="0"/>
              <w:right w:val="single" w:color="auto" w:sz="4" w:space="0"/>
            </w:tcBorders>
            <w:vAlign w:val="center"/>
          </w:tcPr>
          <w:p w14:paraId="49024047">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9</w:t>
            </w:r>
          </w:p>
        </w:tc>
        <w:tc>
          <w:tcPr>
            <w:tcW w:w="1375" w:type="dxa"/>
            <w:tcBorders>
              <w:left w:val="single" w:color="auto" w:sz="4" w:space="0"/>
              <w:bottom w:val="single" w:color="auto" w:sz="4" w:space="0"/>
              <w:right w:val="single" w:color="auto" w:sz="4" w:space="0"/>
            </w:tcBorders>
            <w:vAlign w:val="center"/>
          </w:tcPr>
          <w:p w14:paraId="7E5FA1F4">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14:paraId="348FCCBC">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控制室</w:t>
            </w:r>
          </w:p>
        </w:tc>
        <w:tc>
          <w:tcPr>
            <w:tcW w:w="8043" w:type="dxa"/>
            <w:tcBorders>
              <w:top w:val="single" w:color="auto" w:sz="4" w:space="0"/>
              <w:left w:val="single" w:color="auto" w:sz="4" w:space="0"/>
              <w:bottom w:val="single" w:color="auto" w:sz="4" w:space="0"/>
              <w:right w:val="single" w:color="auto" w:sz="4" w:space="0"/>
            </w:tcBorders>
            <w:vAlign w:val="center"/>
          </w:tcPr>
          <w:p w14:paraId="48D03CB6">
            <w:pPr>
              <w:snapToGrid w:val="0"/>
              <w:rPr>
                <w:rFonts w:hAnsi="宋体" w:cs="方正小标宋_GBK"/>
                <w:snapToGrid w:val="0"/>
                <w:color w:val="000000"/>
                <w:kern w:val="0"/>
                <w:sz w:val="18"/>
                <w:szCs w:val="18"/>
              </w:rPr>
            </w:pPr>
          </w:p>
          <w:p w14:paraId="65691562">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附设在建筑内的消防控制室应设置在首层或地下一层；消防控制室的疏散门应直通室外或直通安全出口；消防控制室火灾自动报警系统主机应开启并运行正常；消防控制室值班人员每班应不少于</w:t>
            </w:r>
            <w:r>
              <w:rPr>
                <w:rFonts w:cs="方正小标宋_GBK"/>
                <w:snapToGrid w:val="0"/>
                <w:color w:val="000000"/>
                <w:kern w:val="0"/>
                <w:sz w:val="18"/>
                <w:szCs w:val="18"/>
              </w:rPr>
              <w:t>2</w:t>
            </w:r>
            <w:r>
              <w:rPr>
                <w:rFonts w:hint="eastAsia" w:hAnsi="宋体" w:cs="方正小标宋_GBK"/>
                <w:snapToGrid w:val="0"/>
                <w:color w:val="000000"/>
                <w:kern w:val="0"/>
                <w:sz w:val="18"/>
                <w:szCs w:val="18"/>
              </w:rPr>
              <w:t>人且均持证上岗，熟悉应急处置程序，能熟练操作消防设施；消防控制室值班人员应对消防控制室的设备运行情况进行每日检查并如实填写《消防控制室值班记录》。</w:t>
            </w:r>
          </w:p>
        </w:tc>
        <w:tc>
          <w:tcPr>
            <w:tcW w:w="2305" w:type="dxa"/>
            <w:tcBorders>
              <w:top w:val="single" w:color="auto" w:sz="4" w:space="0"/>
              <w:left w:val="single" w:color="auto" w:sz="4" w:space="0"/>
              <w:bottom w:val="single" w:color="auto" w:sz="4" w:space="0"/>
              <w:right w:val="single" w:color="auto" w:sz="4" w:space="0"/>
            </w:tcBorders>
            <w:vAlign w:val="center"/>
          </w:tcPr>
          <w:p w14:paraId="66C8212C">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按标准实地检查，其中，消防控制室值班人员应持有《</w:t>
            </w:r>
            <w:r>
              <w:rPr>
                <w:rFonts w:hint="eastAsia" w:hAnsi="宋体" w:cs="方正小标宋_GBK"/>
                <w:bCs/>
                <w:snapToGrid w:val="0"/>
                <w:color w:val="000000"/>
                <w:kern w:val="0"/>
                <w:sz w:val="18"/>
                <w:szCs w:val="18"/>
              </w:rPr>
              <w:t>建（构）筑物消防员职业资格证书</w:t>
            </w:r>
            <w:r>
              <w:rPr>
                <w:rFonts w:hint="eastAsia" w:hAnsi="宋体" w:cs="方正小标宋_GBK"/>
                <w:snapToGrid w:val="0"/>
                <w:color w:val="000000"/>
                <w:kern w:val="0"/>
                <w:sz w:val="18"/>
                <w:szCs w:val="18"/>
              </w:rPr>
              <w:t>》；随机选取某一天《消防控制室值班记录》，对照火灾自动报警系统主机历史记录，应保持一致。询问值班员应急处置程序，核验值班员操作消防设施情况。</w:t>
            </w:r>
          </w:p>
        </w:tc>
        <w:tc>
          <w:tcPr>
            <w:tcW w:w="1554" w:type="dxa"/>
            <w:tcBorders>
              <w:top w:val="single" w:color="auto" w:sz="4" w:space="0"/>
              <w:left w:val="single" w:color="auto" w:sz="4" w:space="0"/>
              <w:bottom w:val="single" w:color="auto" w:sz="4" w:space="0"/>
              <w:right w:val="single" w:color="auto" w:sz="4" w:space="0"/>
            </w:tcBorders>
            <w:vAlign w:val="center"/>
          </w:tcPr>
          <w:p w14:paraId="3F9D3615">
            <w:pPr>
              <w:snapToGrid w:val="0"/>
              <w:rPr>
                <w:rFonts w:cs="方正小标宋_GBK"/>
                <w:snapToGrid w:val="0"/>
                <w:color w:val="000000"/>
                <w:kern w:val="0"/>
                <w:szCs w:val="21"/>
              </w:rPr>
            </w:pPr>
          </w:p>
        </w:tc>
      </w:tr>
      <w:tr w14:paraId="513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9" w:type="dxa"/>
            <w:tcBorders>
              <w:left w:val="single" w:color="auto" w:sz="4" w:space="0"/>
              <w:right w:val="single" w:color="auto" w:sz="4" w:space="0"/>
            </w:tcBorders>
            <w:vAlign w:val="center"/>
          </w:tcPr>
          <w:p w14:paraId="6D5410F4">
            <w:pPr>
              <w:spacing w:line="260" w:lineRule="exact"/>
              <w:jc w:val="center"/>
              <w:rPr>
                <w:rFonts w:ascii="Times New Roman" w:hAnsi="Times New Roman" w:cs="Times New Roman"/>
                <w:snapToGrid w:val="0"/>
                <w:color w:val="000000"/>
                <w:kern w:val="0"/>
                <w:sz w:val="18"/>
                <w:szCs w:val="18"/>
              </w:rPr>
            </w:pPr>
            <w:r>
              <w:rPr>
                <w:rFonts w:ascii="Times New Roman" w:hAnsi="Times New Roman" w:cs="Times New Roman"/>
                <w:b/>
                <w:color w:val="000000"/>
                <w:sz w:val="18"/>
                <w:szCs w:val="18"/>
              </w:rPr>
              <w:t>10</w:t>
            </w:r>
          </w:p>
        </w:tc>
        <w:tc>
          <w:tcPr>
            <w:tcW w:w="1375" w:type="dxa"/>
            <w:tcBorders>
              <w:left w:val="single" w:color="auto" w:sz="4" w:space="0"/>
              <w:bottom w:val="single" w:color="auto" w:sz="4" w:space="0"/>
              <w:right w:val="single" w:color="auto" w:sz="4" w:space="0"/>
            </w:tcBorders>
            <w:vAlign w:val="center"/>
          </w:tcPr>
          <w:p w14:paraId="2A53CC1D">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消防安全</w:t>
            </w:r>
          </w:p>
          <w:p w14:paraId="68A2E311">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评估情况</w:t>
            </w:r>
          </w:p>
        </w:tc>
        <w:tc>
          <w:tcPr>
            <w:tcW w:w="8043" w:type="dxa"/>
            <w:tcBorders>
              <w:top w:val="single" w:color="auto" w:sz="4" w:space="0"/>
              <w:left w:val="single" w:color="auto" w:sz="4" w:space="0"/>
              <w:bottom w:val="single" w:color="auto" w:sz="4" w:space="0"/>
              <w:right w:val="single" w:color="auto" w:sz="4" w:space="0"/>
            </w:tcBorders>
            <w:vAlign w:val="center"/>
          </w:tcPr>
          <w:p w14:paraId="3EFFABAE">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属于火灾高危单位的，应委托具有相应资质的消防技术服务机构每年至少开展</w:t>
            </w:r>
            <w:r>
              <w:rPr>
                <w:rFonts w:cs="方正小标宋_GBK"/>
                <w:snapToGrid w:val="0"/>
                <w:color w:val="000000"/>
                <w:kern w:val="0"/>
                <w:sz w:val="18"/>
                <w:szCs w:val="18"/>
              </w:rPr>
              <w:t>1</w:t>
            </w:r>
            <w:r>
              <w:rPr>
                <w:rFonts w:hint="eastAsia" w:hAnsi="宋体" w:cs="方正小标宋_GBK"/>
                <w:snapToGrid w:val="0"/>
                <w:color w:val="000000"/>
                <w:kern w:val="0"/>
                <w:sz w:val="18"/>
                <w:szCs w:val="18"/>
              </w:rPr>
              <w:t>次消防安全评估。</w:t>
            </w:r>
          </w:p>
        </w:tc>
        <w:tc>
          <w:tcPr>
            <w:tcW w:w="2305" w:type="dxa"/>
            <w:tcBorders>
              <w:top w:val="single" w:color="auto" w:sz="4" w:space="0"/>
              <w:left w:val="single" w:color="auto" w:sz="4" w:space="0"/>
              <w:bottom w:val="single" w:color="auto" w:sz="4" w:space="0"/>
              <w:right w:val="single" w:color="auto" w:sz="4" w:space="0"/>
            </w:tcBorders>
            <w:vAlign w:val="center"/>
          </w:tcPr>
          <w:p w14:paraId="6A731333">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查阅资料，提供火灾高危单位消防安全评估合同及消防技术服务机构的消防安全评估资质证书，核对评估频次。</w:t>
            </w:r>
          </w:p>
        </w:tc>
        <w:tc>
          <w:tcPr>
            <w:tcW w:w="1554" w:type="dxa"/>
            <w:tcBorders>
              <w:top w:val="single" w:color="auto" w:sz="4" w:space="0"/>
              <w:left w:val="single" w:color="auto" w:sz="4" w:space="0"/>
              <w:bottom w:val="single" w:color="auto" w:sz="4" w:space="0"/>
              <w:right w:val="single" w:color="auto" w:sz="4" w:space="0"/>
            </w:tcBorders>
            <w:vAlign w:val="center"/>
          </w:tcPr>
          <w:p w14:paraId="0AF7BC41">
            <w:pPr>
              <w:widowControl/>
              <w:spacing w:line="260" w:lineRule="exact"/>
              <w:jc w:val="center"/>
              <w:textAlignment w:val="center"/>
              <w:rPr>
                <w:rFonts w:cs="方正小标宋_GBK"/>
                <w:snapToGrid w:val="0"/>
                <w:color w:val="000000"/>
                <w:kern w:val="0"/>
                <w:szCs w:val="21"/>
              </w:rPr>
            </w:pPr>
          </w:p>
        </w:tc>
      </w:tr>
      <w:tr w14:paraId="578C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9" w:type="dxa"/>
            <w:tcBorders>
              <w:left w:val="single" w:color="auto" w:sz="4" w:space="0"/>
              <w:right w:val="single" w:color="auto" w:sz="4" w:space="0"/>
            </w:tcBorders>
            <w:vAlign w:val="center"/>
          </w:tcPr>
          <w:p w14:paraId="4C03FEA0">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11</w:t>
            </w:r>
          </w:p>
        </w:tc>
        <w:tc>
          <w:tcPr>
            <w:tcW w:w="1375" w:type="dxa"/>
            <w:tcBorders>
              <w:top w:val="single" w:color="auto" w:sz="4" w:space="0"/>
              <w:left w:val="single" w:color="auto" w:sz="4" w:space="0"/>
              <w:bottom w:val="single" w:color="auto" w:sz="4" w:space="0"/>
              <w:right w:val="single" w:color="auto" w:sz="4" w:space="0"/>
            </w:tcBorders>
            <w:vAlign w:val="center"/>
          </w:tcPr>
          <w:p w14:paraId="44B4A68E">
            <w:pPr>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w:t>
            </w:r>
          </w:p>
          <w:p w14:paraId="2F186F22">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水泵房</w:t>
            </w:r>
          </w:p>
        </w:tc>
        <w:tc>
          <w:tcPr>
            <w:tcW w:w="8043" w:type="dxa"/>
            <w:tcBorders>
              <w:top w:val="single" w:color="auto" w:sz="4" w:space="0"/>
              <w:left w:val="single" w:color="auto" w:sz="4" w:space="0"/>
              <w:bottom w:val="single" w:color="auto" w:sz="4" w:space="0"/>
              <w:right w:val="single" w:color="auto" w:sz="4" w:space="0"/>
            </w:tcBorders>
            <w:vAlign w:val="center"/>
          </w:tcPr>
          <w:p w14:paraId="20500720">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附设在建筑内的消防水泵房应设置在地下二层及以上楼层；消防水泵房的疏散门应直通室外或直通安全出口；各类消防水泵的电源控制柜应通电并调至自动控制状态。</w:t>
            </w:r>
          </w:p>
        </w:tc>
        <w:tc>
          <w:tcPr>
            <w:tcW w:w="2305" w:type="dxa"/>
            <w:tcBorders>
              <w:top w:val="single" w:color="auto" w:sz="4" w:space="0"/>
              <w:left w:val="single" w:color="auto" w:sz="4" w:space="0"/>
              <w:bottom w:val="single" w:color="auto" w:sz="4" w:space="0"/>
              <w:right w:val="single" w:color="auto" w:sz="4" w:space="0"/>
            </w:tcBorders>
            <w:vAlign w:val="center"/>
          </w:tcPr>
          <w:p w14:paraId="58270684">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按标准实地检查，其中，消防水泵的电源控制柜自动控制状态时，应能利用火灾自动报警系统主机远程启泵按钮控制室外消火栓泵、室内消火栓泵、喷淋泵、稳压泵等消防水泵的启停。</w:t>
            </w:r>
          </w:p>
        </w:tc>
        <w:tc>
          <w:tcPr>
            <w:tcW w:w="1554" w:type="dxa"/>
            <w:tcBorders>
              <w:top w:val="single" w:color="auto" w:sz="4" w:space="0"/>
              <w:left w:val="single" w:color="auto" w:sz="4" w:space="0"/>
              <w:bottom w:val="single" w:color="auto" w:sz="4" w:space="0"/>
              <w:right w:val="single" w:color="auto" w:sz="4" w:space="0"/>
            </w:tcBorders>
            <w:vAlign w:val="center"/>
          </w:tcPr>
          <w:p w14:paraId="6DD6F800">
            <w:pPr>
              <w:keepNext/>
              <w:keepLines/>
              <w:snapToGrid w:val="0"/>
              <w:spacing w:before="260" w:after="260" w:line="416" w:lineRule="auto"/>
              <w:rPr>
                <w:rFonts w:cs="方正小标宋_GBK"/>
                <w:snapToGrid w:val="0"/>
                <w:color w:val="000000"/>
                <w:kern w:val="0"/>
                <w:szCs w:val="21"/>
              </w:rPr>
            </w:pPr>
          </w:p>
        </w:tc>
      </w:tr>
      <w:tr w14:paraId="77D2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9" w:type="dxa"/>
            <w:tcBorders>
              <w:left w:val="single" w:color="auto" w:sz="4" w:space="0"/>
              <w:right w:val="single" w:color="auto" w:sz="4" w:space="0"/>
            </w:tcBorders>
            <w:vAlign w:val="center"/>
          </w:tcPr>
          <w:p w14:paraId="501BDE02">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12</w:t>
            </w:r>
          </w:p>
        </w:tc>
        <w:tc>
          <w:tcPr>
            <w:tcW w:w="1375" w:type="dxa"/>
            <w:tcBorders>
              <w:top w:val="single" w:color="auto" w:sz="4" w:space="0"/>
              <w:left w:val="single" w:color="auto" w:sz="4" w:space="0"/>
              <w:bottom w:val="single" w:color="auto" w:sz="4" w:space="0"/>
              <w:right w:val="single" w:color="auto" w:sz="4" w:space="0"/>
            </w:tcBorders>
            <w:vAlign w:val="center"/>
          </w:tcPr>
          <w:p w14:paraId="604D336E">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专用</w:t>
            </w:r>
          </w:p>
          <w:p w14:paraId="77F68B3E">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配电房</w:t>
            </w:r>
          </w:p>
        </w:tc>
        <w:tc>
          <w:tcPr>
            <w:tcW w:w="8043" w:type="dxa"/>
            <w:tcBorders>
              <w:top w:val="single" w:color="auto" w:sz="4" w:space="0"/>
              <w:left w:val="single" w:color="auto" w:sz="4" w:space="0"/>
              <w:bottom w:val="single" w:color="auto" w:sz="4" w:space="0"/>
              <w:right w:val="single" w:color="auto" w:sz="4" w:space="0"/>
            </w:tcBorders>
            <w:vAlign w:val="center"/>
          </w:tcPr>
          <w:p w14:paraId="149E9B18">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附设在建筑内的配电房应与其</w:t>
            </w:r>
            <w:r>
              <w:rPr>
                <w:rFonts w:hint="eastAsia" w:hAnsi="宋体" w:cs="方正小标宋_GBK"/>
                <w:snapToGrid w:val="0"/>
                <w:color w:val="000000"/>
                <w:kern w:val="0"/>
                <w:sz w:val="18"/>
                <w:szCs w:val="18"/>
                <w:lang w:eastAsia="zh-CN"/>
              </w:rPr>
              <w:t>他</w:t>
            </w:r>
            <w:r>
              <w:rPr>
                <w:rFonts w:hint="eastAsia" w:hAnsi="宋体" w:cs="方正小标宋_GBK"/>
                <w:snapToGrid w:val="0"/>
                <w:color w:val="000000"/>
                <w:kern w:val="0"/>
                <w:sz w:val="18"/>
                <w:szCs w:val="18"/>
              </w:rPr>
              <w:t>部位进行防火分隔；应配备手提式干粉灭火器或二氧化碳灭火器。</w:t>
            </w:r>
          </w:p>
        </w:tc>
        <w:tc>
          <w:tcPr>
            <w:tcW w:w="2305" w:type="dxa"/>
            <w:tcBorders>
              <w:top w:val="single" w:color="auto" w:sz="4" w:space="0"/>
              <w:left w:val="single" w:color="auto" w:sz="4" w:space="0"/>
              <w:bottom w:val="single" w:color="auto" w:sz="4" w:space="0"/>
              <w:right w:val="single" w:color="auto" w:sz="4" w:space="0"/>
            </w:tcBorders>
            <w:vAlign w:val="center"/>
          </w:tcPr>
          <w:p w14:paraId="2059AA74">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669E2055">
            <w:pPr>
              <w:keepNext/>
              <w:keepLines/>
              <w:snapToGrid w:val="0"/>
              <w:spacing w:before="260" w:after="260" w:line="416" w:lineRule="auto"/>
              <w:rPr>
                <w:rFonts w:cs="方正小标宋_GBK"/>
                <w:snapToGrid w:val="0"/>
                <w:color w:val="000000"/>
                <w:kern w:val="0"/>
                <w:szCs w:val="21"/>
              </w:rPr>
            </w:pPr>
          </w:p>
        </w:tc>
      </w:tr>
      <w:tr w14:paraId="57A2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09" w:type="dxa"/>
            <w:tcBorders>
              <w:left w:val="single" w:color="auto" w:sz="4" w:space="0"/>
              <w:right w:val="single" w:color="auto" w:sz="4" w:space="0"/>
            </w:tcBorders>
            <w:vAlign w:val="center"/>
          </w:tcPr>
          <w:p w14:paraId="3D94DEAC">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13</w:t>
            </w:r>
          </w:p>
        </w:tc>
        <w:tc>
          <w:tcPr>
            <w:tcW w:w="1375" w:type="dxa"/>
            <w:tcBorders>
              <w:top w:val="single" w:color="auto" w:sz="4" w:space="0"/>
              <w:left w:val="single" w:color="auto" w:sz="4" w:space="0"/>
              <w:bottom w:val="single" w:color="auto" w:sz="4" w:space="0"/>
              <w:right w:val="single" w:color="auto" w:sz="4" w:space="0"/>
            </w:tcBorders>
            <w:vAlign w:val="center"/>
          </w:tcPr>
          <w:p w14:paraId="56FF465C">
            <w:pPr>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公共</w:t>
            </w:r>
          </w:p>
          <w:p w14:paraId="688AFAEF">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厨房</w:t>
            </w:r>
          </w:p>
        </w:tc>
        <w:tc>
          <w:tcPr>
            <w:tcW w:w="8043" w:type="dxa"/>
            <w:tcBorders>
              <w:top w:val="single" w:color="auto" w:sz="4" w:space="0"/>
              <w:left w:val="single" w:color="auto" w:sz="4" w:space="0"/>
              <w:bottom w:val="single" w:color="auto" w:sz="4" w:space="0"/>
              <w:right w:val="single" w:color="auto" w:sz="4" w:space="0"/>
            </w:tcBorders>
            <w:vAlign w:val="center"/>
          </w:tcPr>
          <w:p w14:paraId="29C14890">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宿舍、公寓中的公共厨房与其他部位应采用防火隔墙进行防火分隔，防火隔墙上的门、窗应分别采用乙级防火门、窗；厨房的灶台、油烟罩和烟道应每季度进行清洗、清洁。</w:t>
            </w:r>
          </w:p>
        </w:tc>
        <w:tc>
          <w:tcPr>
            <w:tcW w:w="2305" w:type="dxa"/>
            <w:tcBorders>
              <w:top w:val="single" w:color="auto" w:sz="4" w:space="0"/>
              <w:left w:val="single" w:color="auto" w:sz="4" w:space="0"/>
              <w:bottom w:val="single" w:color="auto" w:sz="4" w:space="0"/>
              <w:right w:val="single" w:color="auto" w:sz="4" w:space="0"/>
            </w:tcBorders>
            <w:vAlign w:val="center"/>
          </w:tcPr>
          <w:p w14:paraId="5E014E89">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按标准实地检查。其中，乙级防火门应有乙级防火门出厂铭牌，并标识</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乙级</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字样；厨房的灶台、油烟罩和烟道的每季度清洗、清洁工作应实地查看油垢积层和服务合同。</w:t>
            </w:r>
          </w:p>
        </w:tc>
        <w:tc>
          <w:tcPr>
            <w:tcW w:w="1554" w:type="dxa"/>
            <w:tcBorders>
              <w:top w:val="single" w:color="auto" w:sz="4" w:space="0"/>
              <w:left w:val="single" w:color="auto" w:sz="4" w:space="0"/>
              <w:bottom w:val="single" w:color="auto" w:sz="4" w:space="0"/>
              <w:right w:val="single" w:color="auto" w:sz="4" w:space="0"/>
            </w:tcBorders>
            <w:vAlign w:val="center"/>
          </w:tcPr>
          <w:p w14:paraId="7C131674">
            <w:pPr>
              <w:keepNext/>
              <w:keepLines/>
              <w:snapToGrid w:val="0"/>
              <w:spacing w:before="260" w:after="260" w:line="416" w:lineRule="auto"/>
              <w:rPr>
                <w:rFonts w:cs="方正小标宋_GBK"/>
                <w:snapToGrid w:val="0"/>
                <w:color w:val="000000"/>
                <w:kern w:val="0"/>
                <w:szCs w:val="21"/>
              </w:rPr>
            </w:pPr>
          </w:p>
        </w:tc>
      </w:tr>
      <w:tr w14:paraId="484E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9" w:type="dxa"/>
            <w:tcBorders>
              <w:left w:val="single" w:color="auto" w:sz="4" w:space="0"/>
              <w:right w:val="single" w:color="auto" w:sz="4" w:space="0"/>
            </w:tcBorders>
            <w:vAlign w:val="center"/>
          </w:tcPr>
          <w:p w14:paraId="17AC28D7">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14</w:t>
            </w:r>
          </w:p>
        </w:tc>
        <w:tc>
          <w:tcPr>
            <w:tcW w:w="1375" w:type="dxa"/>
            <w:tcBorders>
              <w:top w:val="single" w:color="auto" w:sz="4" w:space="0"/>
              <w:left w:val="single" w:color="auto" w:sz="4" w:space="0"/>
              <w:bottom w:val="single" w:color="auto" w:sz="4" w:space="0"/>
              <w:right w:val="single" w:color="auto" w:sz="4" w:space="0"/>
            </w:tcBorders>
            <w:vAlign w:val="center"/>
          </w:tcPr>
          <w:p w14:paraId="00F9B8BF">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宿舍及活动室</w:t>
            </w:r>
          </w:p>
        </w:tc>
        <w:tc>
          <w:tcPr>
            <w:tcW w:w="8043" w:type="dxa"/>
            <w:tcBorders>
              <w:top w:val="single" w:color="auto" w:sz="4" w:space="0"/>
              <w:left w:val="single" w:color="auto" w:sz="4" w:space="0"/>
              <w:bottom w:val="single" w:color="auto" w:sz="4" w:space="0"/>
              <w:right w:val="single" w:color="auto" w:sz="4" w:space="0"/>
            </w:tcBorders>
            <w:vAlign w:val="center"/>
          </w:tcPr>
          <w:p w14:paraId="2E36AE94">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应每层设置</w:t>
            </w:r>
            <w:r>
              <w:rPr>
                <w:rFonts w:cs="方正小标宋_GBK"/>
                <w:snapToGrid w:val="0"/>
                <w:color w:val="000000"/>
                <w:kern w:val="0"/>
                <w:sz w:val="18"/>
                <w:szCs w:val="18"/>
              </w:rPr>
              <w:t>2</w:t>
            </w:r>
            <w:r>
              <w:rPr>
                <w:rFonts w:hint="eastAsia" w:hAnsi="宋体" w:cs="方正小标宋_GBK"/>
                <w:snapToGrid w:val="0"/>
                <w:color w:val="000000"/>
                <w:kern w:val="0"/>
                <w:sz w:val="18"/>
                <w:szCs w:val="18"/>
              </w:rPr>
              <w:t>个安全出口或</w:t>
            </w:r>
            <w:r>
              <w:rPr>
                <w:rFonts w:cs="方正小标宋_GBK"/>
                <w:snapToGrid w:val="0"/>
                <w:color w:val="000000"/>
                <w:kern w:val="0"/>
                <w:sz w:val="18"/>
                <w:szCs w:val="18"/>
              </w:rPr>
              <w:t>2</w:t>
            </w:r>
            <w:r>
              <w:rPr>
                <w:rFonts w:hint="eastAsia" w:hAnsi="宋体" w:cs="方正小标宋_GBK"/>
                <w:snapToGrid w:val="0"/>
                <w:color w:val="000000"/>
                <w:kern w:val="0"/>
                <w:sz w:val="18"/>
                <w:szCs w:val="18"/>
              </w:rPr>
              <w:t>部疏散楼梯；宿舍内不应存在卧床吸烟、使用大功率电器、乱拉乱接电线等行为；外窗不应设置影响疏散逃生和灭火救援的铁栅栏；使用蚊香、蜡烛、煤炉、酒精等物品时应落实防护措施。</w:t>
            </w:r>
          </w:p>
        </w:tc>
        <w:tc>
          <w:tcPr>
            <w:tcW w:w="2305" w:type="dxa"/>
            <w:tcBorders>
              <w:top w:val="single" w:color="auto" w:sz="4" w:space="0"/>
              <w:left w:val="single" w:color="auto" w:sz="4" w:space="0"/>
              <w:bottom w:val="single" w:color="auto" w:sz="4" w:space="0"/>
              <w:right w:val="single" w:color="auto" w:sz="4" w:space="0"/>
            </w:tcBorders>
            <w:vAlign w:val="center"/>
          </w:tcPr>
          <w:p w14:paraId="15FB76B2">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51503847">
            <w:pPr>
              <w:keepNext/>
              <w:keepLines/>
              <w:snapToGrid w:val="0"/>
              <w:spacing w:before="260" w:after="260" w:line="416" w:lineRule="auto"/>
              <w:rPr>
                <w:rFonts w:cs="方正小标宋_GBK"/>
                <w:snapToGrid w:val="0"/>
                <w:color w:val="000000"/>
                <w:kern w:val="0"/>
                <w:szCs w:val="21"/>
              </w:rPr>
            </w:pPr>
          </w:p>
        </w:tc>
      </w:tr>
      <w:tr w14:paraId="2D7C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9" w:type="dxa"/>
            <w:tcBorders>
              <w:left w:val="single" w:color="auto" w:sz="4" w:space="0"/>
              <w:right w:val="single" w:color="auto" w:sz="4" w:space="0"/>
            </w:tcBorders>
            <w:vAlign w:val="center"/>
          </w:tcPr>
          <w:p w14:paraId="67E5BA59">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15</w:t>
            </w:r>
          </w:p>
        </w:tc>
        <w:tc>
          <w:tcPr>
            <w:tcW w:w="1375" w:type="dxa"/>
            <w:tcBorders>
              <w:top w:val="single" w:color="auto" w:sz="4" w:space="0"/>
              <w:left w:val="single" w:color="auto" w:sz="4" w:space="0"/>
              <w:bottom w:val="single" w:color="auto" w:sz="4" w:space="0"/>
              <w:right w:val="single" w:color="auto" w:sz="4" w:space="0"/>
            </w:tcBorders>
            <w:vAlign w:val="center"/>
          </w:tcPr>
          <w:p w14:paraId="3D978FDE">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氧气瓶存放</w:t>
            </w:r>
          </w:p>
        </w:tc>
        <w:tc>
          <w:tcPr>
            <w:tcW w:w="8043" w:type="dxa"/>
            <w:tcBorders>
              <w:top w:val="single" w:color="auto" w:sz="4" w:space="0"/>
              <w:left w:val="single" w:color="auto" w:sz="4" w:space="0"/>
              <w:bottom w:val="single" w:color="auto" w:sz="4" w:space="0"/>
              <w:right w:val="single" w:color="auto" w:sz="4" w:space="0"/>
            </w:tcBorders>
            <w:vAlign w:val="center"/>
          </w:tcPr>
          <w:p w14:paraId="563106A2">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氧气瓶应集中设置且不应在病房和走道存放氧气瓶。</w:t>
            </w:r>
          </w:p>
        </w:tc>
        <w:tc>
          <w:tcPr>
            <w:tcW w:w="2305" w:type="dxa"/>
            <w:tcBorders>
              <w:top w:val="single" w:color="auto" w:sz="4" w:space="0"/>
              <w:left w:val="single" w:color="auto" w:sz="4" w:space="0"/>
              <w:bottom w:val="single" w:color="auto" w:sz="4" w:space="0"/>
              <w:right w:val="single" w:color="auto" w:sz="4" w:space="0"/>
            </w:tcBorders>
            <w:vAlign w:val="center"/>
          </w:tcPr>
          <w:p w14:paraId="589A46E3">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22288C06">
            <w:pPr>
              <w:keepNext/>
              <w:keepLines/>
              <w:snapToGrid w:val="0"/>
              <w:spacing w:before="260" w:after="260" w:line="416" w:lineRule="auto"/>
              <w:rPr>
                <w:rFonts w:cs="方正小标宋_GBK"/>
                <w:snapToGrid w:val="0"/>
                <w:color w:val="000000"/>
                <w:kern w:val="0"/>
                <w:szCs w:val="21"/>
              </w:rPr>
            </w:pPr>
          </w:p>
        </w:tc>
      </w:tr>
      <w:tr w14:paraId="2431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9" w:type="dxa"/>
            <w:tcBorders>
              <w:left w:val="single" w:color="auto" w:sz="4" w:space="0"/>
              <w:right w:val="single" w:color="auto" w:sz="4" w:space="0"/>
            </w:tcBorders>
            <w:vAlign w:val="center"/>
          </w:tcPr>
          <w:p w14:paraId="4AAD4EF1">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16</w:t>
            </w:r>
          </w:p>
        </w:tc>
        <w:tc>
          <w:tcPr>
            <w:tcW w:w="1375" w:type="dxa"/>
            <w:tcBorders>
              <w:top w:val="single" w:color="auto" w:sz="4" w:space="0"/>
              <w:left w:val="single" w:color="auto" w:sz="4" w:space="0"/>
              <w:bottom w:val="single" w:color="auto" w:sz="4" w:space="0"/>
              <w:right w:val="single" w:color="auto" w:sz="4" w:space="0"/>
            </w:tcBorders>
            <w:vAlign w:val="center"/>
          </w:tcPr>
          <w:p w14:paraId="283679C8">
            <w:pPr>
              <w:snapToGrid w:val="0"/>
              <w:jc w:val="center"/>
              <w:rPr>
                <w:rFonts w:ascii="宋体" w:hAnsi="宋体" w:cs="方正小标宋_GBK"/>
                <w:sz w:val="18"/>
                <w:szCs w:val="18"/>
              </w:rPr>
            </w:pPr>
            <w:r>
              <w:rPr>
                <w:rFonts w:hint="eastAsia" w:ascii="宋体" w:hAnsi="宋体" w:cs="方正小标宋_GBK"/>
                <w:sz w:val="18"/>
                <w:szCs w:val="18"/>
              </w:rPr>
              <w:t>电气设备</w:t>
            </w:r>
          </w:p>
          <w:p w14:paraId="13A5D15F">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及线路</w:t>
            </w:r>
          </w:p>
        </w:tc>
        <w:tc>
          <w:tcPr>
            <w:tcW w:w="8043" w:type="dxa"/>
            <w:tcBorders>
              <w:top w:val="single" w:color="auto" w:sz="4" w:space="0"/>
              <w:left w:val="single" w:color="auto" w:sz="4" w:space="0"/>
              <w:bottom w:val="single" w:color="auto" w:sz="4" w:space="0"/>
              <w:right w:val="single" w:color="auto" w:sz="4" w:space="0"/>
            </w:tcBorders>
            <w:vAlign w:val="center"/>
          </w:tcPr>
          <w:p w14:paraId="687A9D54">
            <w:pPr>
              <w:snapToGrid w:val="0"/>
              <w:rPr>
                <w:rFonts w:hAnsi="宋体" w:cs="方正小标宋_GBK"/>
                <w:snapToGrid w:val="0"/>
                <w:color w:val="000000"/>
                <w:kern w:val="0"/>
                <w:sz w:val="18"/>
                <w:szCs w:val="18"/>
              </w:rPr>
            </w:pPr>
            <w:r>
              <w:rPr>
                <w:rFonts w:hint="eastAsia" w:ascii="宋体" w:hAnsi="宋体" w:cs="方正小标宋_GBK"/>
                <w:sz w:val="18"/>
                <w:szCs w:val="18"/>
              </w:rPr>
              <w:t>电气设备及其线路、开关等应按规定负荷装设；电气设备不应超负荷运行或带故障使用；不应存在私拉乱接电气线路或电气线路未穿管保护等情况。</w:t>
            </w:r>
          </w:p>
        </w:tc>
        <w:tc>
          <w:tcPr>
            <w:tcW w:w="2305" w:type="dxa"/>
            <w:tcBorders>
              <w:top w:val="single" w:color="auto" w:sz="4" w:space="0"/>
              <w:left w:val="single" w:color="auto" w:sz="4" w:space="0"/>
              <w:bottom w:val="single" w:color="auto" w:sz="4" w:space="0"/>
              <w:right w:val="single" w:color="auto" w:sz="4" w:space="0"/>
            </w:tcBorders>
            <w:vAlign w:val="center"/>
          </w:tcPr>
          <w:p w14:paraId="43598513">
            <w:pPr>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0E6DB970">
            <w:pPr>
              <w:keepNext/>
              <w:keepLines/>
              <w:snapToGrid w:val="0"/>
              <w:spacing w:before="260" w:after="260" w:line="416" w:lineRule="auto"/>
              <w:rPr>
                <w:rFonts w:cs="方正小标宋_GBK"/>
                <w:snapToGrid w:val="0"/>
                <w:color w:val="000000"/>
                <w:kern w:val="0"/>
                <w:szCs w:val="21"/>
              </w:rPr>
            </w:pPr>
          </w:p>
        </w:tc>
      </w:tr>
      <w:tr w14:paraId="3D32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09" w:type="dxa"/>
            <w:tcBorders>
              <w:left w:val="single" w:color="auto" w:sz="4" w:space="0"/>
              <w:right w:val="single" w:color="auto" w:sz="4" w:space="0"/>
            </w:tcBorders>
            <w:vAlign w:val="center"/>
          </w:tcPr>
          <w:p w14:paraId="2AF1492A">
            <w:pPr>
              <w:snapToGrid w:val="0"/>
              <w:jc w:val="center"/>
              <w:rPr>
                <w:rFonts w:ascii="Times New Roman" w:hAnsi="Times New Roman" w:cs="Times New Roman"/>
                <w:sz w:val="18"/>
                <w:szCs w:val="18"/>
              </w:rPr>
            </w:pPr>
            <w:r>
              <w:rPr>
                <w:rFonts w:ascii="Times New Roman" w:hAnsi="Times New Roman" w:cs="Times New Roman"/>
                <w:sz w:val="18"/>
                <w:szCs w:val="18"/>
              </w:rPr>
              <w:t>17</w:t>
            </w:r>
          </w:p>
        </w:tc>
        <w:tc>
          <w:tcPr>
            <w:tcW w:w="1375" w:type="dxa"/>
            <w:tcBorders>
              <w:top w:val="single" w:color="auto" w:sz="4" w:space="0"/>
              <w:left w:val="single" w:color="auto" w:sz="4" w:space="0"/>
              <w:right w:val="single" w:color="auto" w:sz="4" w:space="0"/>
            </w:tcBorders>
            <w:vAlign w:val="center"/>
          </w:tcPr>
          <w:p w14:paraId="09F0FB19">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灭火器</w:t>
            </w:r>
          </w:p>
        </w:tc>
        <w:tc>
          <w:tcPr>
            <w:tcW w:w="8043" w:type="dxa"/>
            <w:tcBorders>
              <w:top w:val="single" w:color="auto" w:sz="4" w:space="0"/>
              <w:left w:val="single" w:color="auto" w:sz="4" w:space="0"/>
              <w:right w:val="single" w:color="auto" w:sz="4" w:space="0"/>
            </w:tcBorders>
            <w:vAlign w:val="center"/>
          </w:tcPr>
          <w:p w14:paraId="134C95E7">
            <w:pPr>
              <w:snapToGrid w:val="0"/>
              <w:rPr>
                <w:rFonts w:hAnsi="宋体" w:cs="方正小标宋_GBK"/>
                <w:snapToGrid w:val="0"/>
                <w:color w:val="000000"/>
                <w:kern w:val="0"/>
                <w:sz w:val="18"/>
                <w:szCs w:val="18"/>
              </w:rPr>
            </w:pPr>
            <w:r>
              <w:rPr>
                <w:rFonts w:hint="eastAsia" w:ascii="宋体" w:hAnsi="宋体" w:cs="方正小标宋_GBK"/>
                <w:sz w:val="18"/>
                <w:szCs w:val="18"/>
              </w:rPr>
              <w:t>干粉灭火器的指针应指示在绿色区域；二氧化碳灭火器每月至少检查一次重量，泄漏量不大于额定重量的</w:t>
            </w:r>
            <w:r>
              <w:rPr>
                <w:rFonts w:ascii="宋体" w:hAnsi="宋体" w:cs="方正小标宋_GBK"/>
                <w:sz w:val="18"/>
                <w:szCs w:val="18"/>
              </w:rPr>
              <w:t>5%或不得泄露超过50克</w:t>
            </w:r>
            <w:r>
              <w:rPr>
                <w:rFonts w:hint="eastAsia" w:ascii="宋体" w:hAnsi="宋体" w:cs="方正小标宋_GBK"/>
                <w:sz w:val="18"/>
                <w:szCs w:val="18"/>
              </w:rPr>
              <w:t>。灭火器瓶体、零部件应整洁、无灰尘、无锈蚀。</w:t>
            </w:r>
          </w:p>
        </w:tc>
        <w:tc>
          <w:tcPr>
            <w:tcW w:w="2305" w:type="dxa"/>
            <w:tcBorders>
              <w:top w:val="single" w:color="auto" w:sz="4" w:space="0"/>
              <w:left w:val="single" w:color="auto" w:sz="4" w:space="0"/>
              <w:right w:val="single" w:color="auto" w:sz="4" w:space="0"/>
            </w:tcBorders>
            <w:vAlign w:val="center"/>
          </w:tcPr>
          <w:p w14:paraId="5B0C7005">
            <w:pPr>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按标准实地检查，随机选取各类灭火器进行真火灭火测试。</w:t>
            </w:r>
          </w:p>
        </w:tc>
        <w:tc>
          <w:tcPr>
            <w:tcW w:w="1554" w:type="dxa"/>
            <w:tcBorders>
              <w:top w:val="single" w:color="auto" w:sz="4" w:space="0"/>
              <w:left w:val="single" w:color="auto" w:sz="4" w:space="0"/>
              <w:right w:val="single" w:color="auto" w:sz="4" w:space="0"/>
            </w:tcBorders>
            <w:vAlign w:val="center"/>
          </w:tcPr>
          <w:p w14:paraId="21AB9466">
            <w:pPr>
              <w:keepNext/>
              <w:keepLines/>
              <w:snapToGrid w:val="0"/>
              <w:spacing w:before="260" w:after="260" w:line="416" w:lineRule="auto"/>
              <w:rPr>
                <w:rFonts w:cs="方正小标宋_GBK"/>
                <w:snapToGrid w:val="0"/>
                <w:color w:val="000000"/>
                <w:kern w:val="0"/>
                <w:szCs w:val="21"/>
              </w:rPr>
            </w:pPr>
          </w:p>
        </w:tc>
      </w:tr>
      <w:tr w14:paraId="07BF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09" w:type="dxa"/>
            <w:tcBorders>
              <w:left w:val="single" w:color="auto" w:sz="4" w:space="0"/>
              <w:right w:val="single" w:color="auto" w:sz="4" w:space="0"/>
            </w:tcBorders>
            <w:vAlign w:val="center"/>
          </w:tcPr>
          <w:p w14:paraId="5052ED97">
            <w:pPr>
              <w:snapToGrid w:val="0"/>
              <w:jc w:val="center"/>
              <w:rPr>
                <w:rFonts w:ascii="Times New Roman" w:hAnsi="Times New Roman" w:cs="Times New Roman"/>
                <w:sz w:val="18"/>
                <w:szCs w:val="18"/>
              </w:rPr>
            </w:pPr>
            <w:r>
              <w:rPr>
                <w:rFonts w:ascii="Times New Roman" w:hAnsi="Times New Roman" w:cs="Times New Roman"/>
                <w:sz w:val="18"/>
                <w:szCs w:val="18"/>
              </w:rPr>
              <w:t>18</w:t>
            </w:r>
          </w:p>
        </w:tc>
        <w:tc>
          <w:tcPr>
            <w:tcW w:w="1375" w:type="dxa"/>
            <w:tcBorders>
              <w:top w:val="single" w:color="auto" w:sz="4" w:space="0"/>
              <w:left w:val="single" w:color="auto" w:sz="4" w:space="0"/>
              <w:bottom w:val="single" w:color="auto" w:sz="4" w:space="0"/>
              <w:right w:val="single" w:color="auto" w:sz="4" w:space="0"/>
            </w:tcBorders>
            <w:vAlign w:val="center"/>
          </w:tcPr>
          <w:p w14:paraId="1B386918">
            <w:pPr>
              <w:snapToGrid w:val="0"/>
              <w:jc w:val="center"/>
              <w:rPr>
                <w:rFonts w:ascii="宋体" w:hAnsi="宋体" w:cs="方正小标宋_GBK"/>
                <w:sz w:val="18"/>
                <w:szCs w:val="18"/>
              </w:rPr>
            </w:pPr>
            <w:r>
              <w:rPr>
                <w:rFonts w:hint="eastAsia" w:ascii="宋体" w:hAnsi="宋体" w:cs="方正小标宋_GBK"/>
                <w:sz w:val="18"/>
                <w:szCs w:val="18"/>
              </w:rPr>
              <w:t>室内</w:t>
            </w:r>
          </w:p>
          <w:p w14:paraId="6AC34C5A">
            <w:pPr>
              <w:snapToGrid w:val="0"/>
              <w:jc w:val="center"/>
              <w:rPr>
                <w:rFonts w:ascii="宋体" w:hAnsi="宋体" w:cs="方正小标宋_GBK"/>
                <w:sz w:val="18"/>
                <w:szCs w:val="18"/>
              </w:rPr>
            </w:pPr>
            <w:r>
              <w:rPr>
                <w:rFonts w:hint="eastAsia" w:ascii="宋体" w:hAnsi="宋体" w:cs="方正小标宋_GBK"/>
                <w:sz w:val="18"/>
                <w:szCs w:val="18"/>
              </w:rPr>
              <w:t>消火栓</w:t>
            </w:r>
          </w:p>
          <w:p w14:paraId="620E2057">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系统</w:t>
            </w:r>
          </w:p>
        </w:tc>
        <w:tc>
          <w:tcPr>
            <w:tcW w:w="8043" w:type="dxa"/>
            <w:tcBorders>
              <w:top w:val="single" w:color="auto" w:sz="4" w:space="0"/>
              <w:left w:val="single" w:color="auto" w:sz="4" w:space="0"/>
              <w:bottom w:val="single" w:color="auto" w:sz="4" w:space="0"/>
              <w:right w:val="single" w:color="auto" w:sz="4" w:space="0"/>
            </w:tcBorders>
            <w:vAlign w:val="center"/>
          </w:tcPr>
          <w:p w14:paraId="401C5707">
            <w:pPr>
              <w:snapToGrid w:val="0"/>
              <w:rPr>
                <w:rFonts w:hAnsi="宋体" w:cs="方正小标宋_GBK"/>
                <w:snapToGrid w:val="0"/>
                <w:color w:val="000000"/>
                <w:kern w:val="0"/>
                <w:sz w:val="18"/>
                <w:szCs w:val="18"/>
              </w:rPr>
            </w:pPr>
            <w:r>
              <w:rPr>
                <w:rFonts w:hint="eastAsia" w:ascii="宋体" w:hAnsi="宋体" w:cs="方正小标宋_GBK"/>
                <w:sz w:val="18"/>
                <w:szCs w:val="18"/>
              </w:rPr>
              <w:t>开启屋顶试验消火栓测试水压，压力表显示应不低于</w:t>
            </w:r>
            <w:r>
              <w:rPr>
                <w:rFonts w:ascii="宋体" w:hAnsi="宋体" w:cs="方正小标宋_GBK"/>
                <w:sz w:val="18"/>
                <w:szCs w:val="18"/>
              </w:rPr>
              <w:t>0.25MPa；室内消火栓箱内的水枪</w:t>
            </w:r>
            <w:r>
              <w:rPr>
                <w:rFonts w:hint="eastAsia" w:ascii="宋体" w:hAnsi="宋体" w:cs="方正小标宋_GBK"/>
                <w:sz w:val="18"/>
                <w:szCs w:val="18"/>
              </w:rPr>
              <w:t>、</w:t>
            </w:r>
            <w:r>
              <w:rPr>
                <w:rFonts w:ascii="宋体" w:hAnsi="宋体" w:cs="方正小标宋_GBK"/>
                <w:sz w:val="18"/>
                <w:szCs w:val="18"/>
              </w:rPr>
              <w:t>水带等配件应齐全，水带与接口绑扎应牢固；任选一个室内消火栓，接好水带</w:t>
            </w:r>
            <w:r>
              <w:rPr>
                <w:rFonts w:hint="eastAsia" w:ascii="宋体" w:hAnsi="宋体" w:cs="方正小标宋_GBK"/>
                <w:sz w:val="18"/>
                <w:szCs w:val="18"/>
              </w:rPr>
              <w:t>、</w:t>
            </w:r>
            <w:r>
              <w:rPr>
                <w:rFonts w:ascii="宋体" w:hAnsi="宋体" w:cs="方正小标宋_GBK"/>
                <w:sz w:val="18"/>
                <w:szCs w:val="18"/>
              </w:rPr>
              <w:t>水枪，水枪出水应正常。</w:t>
            </w:r>
          </w:p>
        </w:tc>
        <w:tc>
          <w:tcPr>
            <w:tcW w:w="2305" w:type="dxa"/>
            <w:tcBorders>
              <w:top w:val="single" w:color="auto" w:sz="4" w:space="0"/>
              <w:left w:val="single" w:color="auto" w:sz="4" w:space="0"/>
              <w:bottom w:val="single" w:color="auto" w:sz="4" w:space="0"/>
              <w:right w:val="single" w:color="auto" w:sz="4" w:space="0"/>
            </w:tcBorders>
            <w:vAlign w:val="center"/>
          </w:tcPr>
          <w:p w14:paraId="1A0615B9">
            <w:pPr>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按标准实地检查，外接水枪、水带做放水测试，确保栓口、接口处无漏水现象，水带无破损现象。</w:t>
            </w:r>
          </w:p>
        </w:tc>
        <w:tc>
          <w:tcPr>
            <w:tcW w:w="1554" w:type="dxa"/>
            <w:tcBorders>
              <w:top w:val="single" w:color="auto" w:sz="4" w:space="0"/>
              <w:left w:val="single" w:color="auto" w:sz="4" w:space="0"/>
              <w:bottom w:val="single" w:color="auto" w:sz="4" w:space="0"/>
              <w:right w:val="single" w:color="auto" w:sz="4" w:space="0"/>
            </w:tcBorders>
            <w:vAlign w:val="center"/>
          </w:tcPr>
          <w:p w14:paraId="63380BB8">
            <w:pPr>
              <w:keepNext/>
              <w:keepLines/>
              <w:snapToGrid w:val="0"/>
              <w:spacing w:before="260" w:after="260" w:line="416" w:lineRule="auto"/>
              <w:rPr>
                <w:rFonts w:cs="方正小标宋_GBK"/>
                <w:snapToGrid w:val="0"/>
                <w:color w:val="000000"/>
                <w:kern w:val="0"/>
                <w:szCs w:val="21"/>
              </w:rPr>
            </w:pPr>
          </w:p>
        </w:tc>
      </w:tr>
      <w:tr w14:paraId="6688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09" w:type="dxa"/>
            <w:tcBorders>
              <w:left w:val="single" w:color="auto" w:sz="4" w:space="0"/>
              <w:right w:val="single" w:color="auto" w:sz="4" w:space="0"/>
            </w:tcBorders>
            <w:vAlign w:val="center"/>
          </w:tcPr>
          <w:p w14:paraId="524136E2">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19</w:t>
            </w:r>
          </w:p>
        </w:tc>
        <w:tc>
          <w:tcPr>
            <w:tcW w:w="1375" w:type="dxa"/>
            <w:tcBorders>
              <w:top w:val="single" w:color="auto" w:sz="4" w:space="0"/>
              <w:left w:val="single" w:color="auto" w:sz="4" w:space="0"/>
              <w:bottom w:val="single" w:color="auto" w:sz="4" w:space="0"/>
              <w:right w:val="single" w:color="auto" w:sz="4" w:space="0"/>
            </w:tcBorders>
            <w:vAlign w:val="center"/>
          </w:tcPr>
          <w:p w14:paraId="6A9BADAA">
            <w:pPr>
              <w:snapToGrid w:val="0"/>
              <w:jc w:val="center"/>
              <w:rPr>
                <w:rFonts w:ascii="宋体" w:hAnsi="宋体" w:cs="方正小标宋_GBK"/>
                <w:sz w:val="18"/>
                <w:szCs w:val="18"/>
              </w:rPr>
            </w:pPr>
            <w:r>
              <w:rPr>
                <w:rFonts w:hint="eastAsia" w:ascii="宋体" w:hAnsi="宋体" w:cs="方正小标宋_GBK"/>
                <w:sz w:val="18"/>
                <w:szCs w:val="18"/>
              </w:rPr>
              <w:t>火灾自动</w:t>
            </w:r>
          </w:p>
          <w:p w14:paraId="54C4A799">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报警系统</w:t>
            </w:r>
          </w:p>
        </w:tc>
        <w:tc>
          <w:tcPr>
            <w:tcW w:w="8043" w:type="dxa"/>
            <w:tcBorders>
              <w:top w:val="single" w:color="auto" w:sz="4" w:space="0"/>
              <w:left w:val="single" w:color="auto" w:sz="4" w:space="0"/>
              <w:bottom w:val="single" w:color="auto" w:sz="4" w:space="0"/>
              <w:right w:val="single" w:color="auto" w:sz="4" w:space="0"/>
            </w:tcBorders>
            <w:vAlign w:val="center"/>
          </w:tcPr>
          <w:p w14:paraId="5275484F">
            <w:pPr>
              <w:snapToGrid w:val="0"/>
              <w:rPr>
                <w:rFonts w:hAnsi="宋体" w:cs="方正小标宋_GBK"/>
                <w:snapToGrid w:val="0"/>
                <w:color w:val="000000"/>
                <w:kern w:val="0"/>
                <w:sz w:val="18"/>
                <w:szCs w:val="18"/>
              </w:rPr>
            </w:pPr>
            <w:r>
              <w:rPr>
                <w:rFonts w:hint="eastAsia" w:ascii="宋体" w:hAnsi="宋体" w:cs="方正小标宋_GBK"/>
                <w:sz w:val="18"/>
                <w:szCs w:val="18"/>
              </w:rPr>
              <w:t>系统完好有效，联动控制功能运行正常。不得擅自停用、关闭。</w:t>
            </w:r>
          </w:p>
        </w:tc>
        <w:tc>
          <w:tcPr>
            <w:tcW w:w="2305" w:type="dxa"/>
            <w:tcBorders>
              <w:top w:val="single" w:color="auto" w:sz="4" w:space="0"/>
              <w:left w:val="single" w:color="auto" w:sz="4" w:space="0"/>
              <w:bottom w:val="single" w:color="auto" w:sz="4" w:space="0"/>
              <w:right w:val="single" w:color="auto" w:sz="4" w:space="0"/>
            </w:tcBorders>
            <w:vAlign w:val="center"/>
          </w:tcPr>
          <w:p w14:paraId="0AB91400">
            <w:pPr>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将消防控制室火灾自动报警主机调至自动报警状态，按下手动火灾报警按钮或对感烟探测器进行吹烟测试，火灾自动报警系统应正常启动，应急广播、防排烟系统、防火卷帘等自动消防设施应正常联动。</w:t>
            </w:r>
          </w:p>
        </w:tc>
        <w:tc>
          <w:tcPr>
            <w:tcW w:w="1554" w:type="dxa"/>
            <w:tcBorders>
              <w:top w:val="single" w:color="auto" w:sz="4" w:space="0"/>
              <w:left w:val="single" w:color="auto" w:sz="4" w:space="0"/>
              <w:bottom w:val="single" w:color="auto" w:sz="4" w:space="0"/>
              <w:right w:val="single" w:color="auto" w:sz="4" w:space="0"/>
            </w:tcBorders>
            <w:vAlign w:val="center"/>
          </w:tcPr>
          <w:p w14:paraId="799D178C">
            <w:pPr>
              <w:keepNext/>
              <w:keepLines/>
              <w:snapToGrid w:val="0"/>
              <w:spacing w:before="260" w:after="260" w:line="416" w:lineRule="auto"/>
              <w:rPr>
                <w:rFonts w:cs="方正小标宋_GBK"/>
                <w:snapToGrid w:val="0"/>
                <w:color w:val="000000"/>
                <w:kern w:val="0"/>
                <w:szCs w:val="21"/>
              </w:rPr>
            </w:pPr>
          </w:p>
        </w:tc>
      </w:tr>
      <w:tr w14:paraId="2752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09" w:type="dxa"/>
            <w:tcBorders>
              <w:left w:val="single" w:color="auto" w:sz="4" w:space="0"/>
              <w:right w:val="single" w:color="auto" w:sz="4" w:space="0"/>
            </w:tcBorders>
            <w:vAlign w:val="center"/>
          </w:tcPr>
          <w:p w14:paraId="5FF06B17">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20</w:t>
            </w:r>
          </w:p>
        </w:tc>
        <w:tc>
          <w:tcPr>
            <w:tcW w:w="1375" w:type="dxa"/>
            <w:tcBorders>
              <w:top w:val="single" w:color="auto" w:sz="4" w:space="0"/>
              <w:left w:val="single" w:color="auto" w:sz="4" w:space="0"/>
              <w:bottom w:val="single" w:color="auto" w:sz="4" w:space="0"/>
              <w:right w:val="single" w:color="auto" w:sz="4" w:space="0"/>
            </w:tcBorders>
            <w:vAlign w:val="center"/>
          </w:tcPr>
          <w:p w14:paraId="230D80BB">
            <w:pPr>
              <w:snapToGrid w:val="0"/>
              <w:jc w:val="center"/>
              <w:rPr>
                <w:rFonts w:ascii="宋体" w:hAnsi="宋体" w:cs="方正小标宋_GBK"/>
                <w:sz w:val="18"/>
                <w:szCs w:val="18"/>
              </w:rPr>
            </w:pPr>
            <w:r>
              <w:rPr>
                <w:rFonts w:hint="eastAsia" w:ascii="宋体" w:hAnsi="宋体" w:cs="方正小标宋_GBK"/>
                <w:sz w:val="18"/>
                <w:szCs w:val="18"/>
              </w:rPr>
              <w:t>自动喷水</w:t>
            </w:r>
          </w:p>
          <w:p w14:paraId="1EC8BC3F">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灭火系统</w:t>
            </w:r>
          </w:p>
        </w:tc>
        <w:tc>
          <w:tcPr>
            <w:tcW w:w="8043" w:type="dxa"/>
            <w:tcBorders>
              <w:top w:val="single" w:color="auto" w:sz="4" w:space="0"/>
              <w:left w:val="single" w:color="auto" w:sz="4" w:space="0"/>
              <w:bottom w:val="single" w:color="auto" w:sz="4" w:space="0"/>
              <w:right w:val="single" w:color="auto" w:sz="4" w:space="0"/>
            </w:tcBorders>
            <w:vAlign w:val="center"/>
          </w:tcPr>
          <w:p w14:paraId="3CE66734">
            <w:pPr>
              <w:snapToGrid w:val="0"/>
              <w:rPr>
                <w:rFonts w:hAnsi="宋体" w:cs="方正小标宋_GBK"/>
                <w:snapToGrid w:val="0"/>
                <w:color w:val="000000"/>
                <w:kern w:val="0"/>
                <w:sz w:val="18"/>
                <w:szCs w:val="18"/>
              </w:rPr>
            </w:pPr>
            <w:r>
              <w:rPr>
                <w:rFonts w:hint="eastAsia" w:ascii="宋体" w:hAnsi="宋体" w:cs="方正小标宋_GBK"/>
                <w:sz w:val="18"/>
                <w:szCs w:val="18"/>
              </w:rPr>
              <w:t>系统完好有效，末端试水压力不低于</w:t>
            </w:r>
            <w:r>
              <w:rPr>
                <w:rFonts w:ascii="宋体" w:hAnsi="宋体" w:cs="方正小标宋_GBK"/>
                <w:sz w:val="18"/>
                <w:szCs w:val="18"/>
              </w:rPr>
              <w:t>0.05MPa。</w:t>
            </w:r>
            <w:r>
              <w:rPr>
                <w:rFonts w:hint="eastAsia" w:ascii="宋体" w:hAnsi="宋体" w:cs="方正小标宋_GBK"/>
                <w:sz w:val="18"/>
                <w:szCs w:val="18"/>
              </w:rPr>
              <w:t>不得擅自停用、关闭。</w:t>
            </w:r>
          </w:p>
        </w:tc>
        <w:tc>
          <w:tcPr>
            <w:tcW w:w="2305" w:type="dxa"/>
            <w:tcBorders>
              <w:top w:val="single" w:color="auto" w:sz="4" w:space="0"/>
              <w:left w:val="single" w:color="auto" w:sz="4" w:space="0"/>
              <w:bottom w:val="single" w:color="auto" w:sz="4" w:space="0"/>
              <w:right w:val="single" w:color="auto" w:sz="4" w:space="0"/>
            </w:tcBorders>
            <w:vAlign w:val="center"/>
          </w:tcPr>
          <w:p w14:paraId="557260D4">
            <w:pPr>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查阅建筑消防设施维保记录。开启末端试水装置测试水压，压力表显示应不低于</w:t>
            </w:r>
            <w:r>
              <w:rPr>
                <w:rFonts w:ascii="宋体" w:hAnsi="宋体" w:cs="方正小标宋_GBK"/>
                <w:sz w:val="18"/>
                <w:szCs w:val="18"/>
              </w:rPr>
              <w:t>0.05MPa，应有反馈信号反馈至消防控制室火灾自动报警系统主机。</w:t>
            </w:r>
          </w:p>
        </w:tc>
        <w:tc>
          <w:tcPr>
            <w:tcW w:w="1554" w:type="dxa"/>
            <w:tcBorders>
              <w:top w:val="single" w:color="auto" w:sz="4" w:space="0"/>
              <w:left w:val="single" w:color="auto" w:sz="4" w:space="0"/>
              <w:bottom w:val="single" w:color="auto" w:sz="4" w:space="0"/>
              <w:right w:val="single" w:color="auto" w:sz="4" w:space="0"/>
            </w:tcBorders>
            <w:vAlign w:val="center"/>
          </w:tcPr>
          <w:p w14:paraId="20FB55C9">
            <w:pPr>
              <w:keepNext/>
              <w:keepLines/>
              <w:snapToGrid w:val="0"/>
              <w:spacing w:before="260" w:after="260" w:line="416" w:lineRule="auto"/>
              <w:rPr>
                <w:rFonts w:cs="方正小标宋_GBK"/>
                <w:snapToGrid w:val="0"/>
                <w:color w:val="000000"/>
                <w:kern w:val="0"/>
                <w:szCs w:val="21"/>
              </w:rPr>
            </w:pPr>
          </w:p>
        </w:tc>
      </w:tr>
      <w:tr w14:paraId="330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709" w:type="dxa"/>
            <w:tcBorders>
              <w:left w:val="single" w:color="auto" w:sz="4" w:space="0"/>
              <w:right w:val="single" w:color="auto" w:sz="4" w:space="0"/>
            </w:tcBorders>
            <w:vAlign w:val="center"/>
          </w:tcPr>
          <w:p w14:paraId="5265F0D8">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21</w:t>
            </w:r>
          </w:p>
        </w:tc>
        <w:tc>
          <w:tcPr>
            <w:tcW w:w="1375" w:type="dxa"/>
            <w:tcBorders>
              <w:top w:val="single" w:color="auto" w:sz="4" w:space="0"/>
              <w:left w:val="single" w:color="auto" w:sz="4" w:space="0"/>
              <w:bottom w:val="single" w:color="auto" w:sz="4" w:space="0"/>
              <w:right w:val="single" w:color="auto" w:sz="4" w:space="0"/>
            </w:tcBorders>
            <w:vAlign w:val="center"/>
          </w:tcPr>
          <w:p w14:paraId="5E7B9CEC">
            <w:pPr>
              <w:snapToGrid w:val="0"/>
              <w:jc w:val="center"/>
              <w:rPr>
                <w:rFonts w:ascii="宋体" w:hAnsi="宋体" w:cs="方正小标宋_GBK"/>
                <w:sz w:val="18"/>
                <w:szCs w:val="18"/>
              </w:rPr>
            </w:pPr>
            <w:r>
              <w:rPr>
                <w:rFonts w:hint="eastAsia" w:ascii="宋体" w:hAnsi="宋体" w:cs="方正小标宋_GBK"/>
                <w:sz w:val="18"/>
                <w:szCs w:val="18"/>
              </w:rPr>
              <w:t>防烟排烟</w:t>
            </w:r>
          </w:p>
          <w:p w14:paraId="584F506A">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系统</w:t>
            </w:r>
          </w:p>
        </w:tc>
        <w:tc>
          <w:tcPr>
            <w:tcW w:w="8043" w:type="dxa"/>
            <w:tcBorders>
              <w:top w:val="single" w:color="auto" w:sz="4" w:space="0"/>
              <w:left w:val="single" w:color="auto" w:sz="4" w:space="0"/>
              <w:bottom w:val="single" w:color="auto" w:sz="4" w:space="0"/>
              <w:right w:val="single" w:color="auto" w:sz="4" w:space="0"/>
            </w:tcBorders>
            <w:vAlign w:val="center"/>
          </w:tcPr>
          <w:p w14:paraId="07039671">
            <w:pPr>
              <w:snapToGrid w:val="0"/>
              <w:rPr>
                <w:rFonts w:hAnsi="宋体" w:cs="方正小标宋_GBK"/>
                <w:snapToGrid w:val="0"/>
                <w:color w:val="000000"/>
                <w:kern w:val="0"/>
                <w:sz w:val="18"/>
                <w:szCs w:val="18"/>
              </w:rPr>
            </w:pPr>
            <w:r>
              <w:rPr>
                <w:rFonts w:hint="eastAsia" w:ascii="宋体" w:hAnsi="宋体" w:cs="方正小标宋_GBK"/>
                <w:sz w:val="18"/>
                <w:szCs w:val="18"/>
              </w:rPr>
              <w:t>系统完好有效，联动控制功能运行正常。用于自然排烟的窗户应方便开启并不应被遮挡。不得擅自停用、关闭。</w:t>
            </w:r>
          </w:p>
        </w:tc>
        <w:tc>
          <w:tcPr>
            <w:tcW w:w="2305" w:type="dxa"/>
            <w:tcBorders>
              <w:top w:val="single" w:color="auto" w:sz="4" w:space="0"/>
              <w:left w:val="single" w:color="auto" w:sz="4" w:space="0"/>
              <w:bottom w:val="single" w:color="auto" w:sz="4" w:space="0"/>
              <w:right w:val="single" w:color="auto" w:sz="4" w:space="0"/>
            </w:tcBorders>
            <w:vAlign w:val="center"/>
          </w:tcPr>
          <w:p w14:paraId="31FE0BC6">
            <w:pPr>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将防排烟风机的末端电源控制柜的启动方式调至手动状态，按下防排烟风机启动按钮后，相应的风机应正常工作；按下一个手动火灾报警按钮或对感烟探测器进行吹烟测试，相应部位的防排烟系统应正常启动。</w:t>
            </w:r>
          </w:p>
        </w:tc>
        <w:tc>
          <w:tcPr>
            <w:tcW w:w="1554" w:type="dxa"/>
            <w:tcBorders>
              <w:top w:val="single" w:color="auto" w:sz="4" w:space="0"/>
              <w:left w:val="single" w:color="auto" w:sz="4" w:space="0"/>
              <w:bottom w:val="single" w:color="auto" w:sz="4" w:space="0"/>
              <w:right w:val="single" w:color="auto" w:sz="4" w:space="0"/>
            </w:tcBorders>
            <w:vAlign w:val="center"/>
          </w:tcPr>
          <w:p w14:paraId="7A018AA0">
            <w:pPr>
              <w:keepNext/>
              <w:keepLines/>
              <w:snapToGrid w:val="0"/>
              <w:spacing w:before="260" w:after="260" w:line="416" w:lineRule="auto"/>
              <w:rPr>
                <w:rFonts w:cs="方正小标宋_GBK"/>
                <w:snapToGrid w:val="0"/>
                <w:color w:val="000000"/>
                <w:kern w:val="0"/>
                <w:szCs w:val="21"/>
              </w:rPr>
            </w:pPr>
          </w:p>
        </w:tc>
      </w:tr>
      <w:tr w14:paraId="3327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09" w:type="dxa"/>
            <w:tcBorders>
              <w:left w:val="single" w:color="auto" w:sz="4" w:space="0"/>
              <w:right w:val="single" w:color="auto" w:sz="4" w:space="0"/>
            </w:tcBorders>
            <w:vAlign w:val="center"/>
          </w:tcPr>
          <w:p w14:paraId="6FD9D22A">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22</w:t>
            </w:r>
          </w:p>
        </w:tc>
        <w:tc>
          <w:tcPr>
            <w:tcW w:w="1375" w:type="dxa"/>
            <w:tcBorders>
              <w:top w:val="single" w:color="auto" w:sz="4" w:space="0"/>
              <w:left w:val="single" w:color="auto" w:sz="4" w:space="0"/>
              <w:bottom w:val="single" w:color="auto" w:sz="4" w:space="0"/>
              <w:right w:val="single" w:color="auto" w:sz="4" w:space="0"/>
            </w:tcBorders>
            <w:vAlign w:val="center"/>
          </w:tcPr>
          <w:p w14:paraId="0990BB57">
            <w:pPr>
              <w:spacing w:line="0" w:lineRule="atLeast"/>
              <w:jc w:val="center"/>
              <w:rPr>
                <w:rFonts w:ascii="宋体" w:hAnsi="宋体" w:cs="方正小标宋_GBK"/>
                <w:sz w:val="18"/>
                <w:szCs w:val="18"/>
              </w:rPr>
            </w:pPr>
            <w:r>
              <w:rPr>
                <w:rFonts w:hint="eastAsia" w:ascii="宋体" w:hAnsi="宋体" w:cs="方正小标宋_GBK"/>
                <w:sz w:val="18"/>
                <w:szCs w:val="18"/>
              </w:rPr>
              <w:t>应急</w:t>
            </w:r>
          </w:p>
          <w:p w14:paraId="61D1E876">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广播</w:t>
            </w:r>
          </w:p>
        </w:tc>
        <w:tc>
          <w:tcPr>
            <w:tcW w:w="8043" w:type="dxa"/>
            <w:tcBorders>
              <w:top w:val="single" w:color="auto" w:sz="4" w:space="0"/>
              <w:left w:val="single" w:color="auto" w:sz="4" w:space="0"/>
              <w:bottom w:val="single" w:color="auto" w:sz="4" w:space="0"/>
              <w:right w:val="single" w:color="auto" w:sz="4" w:space="0"/>
            </w:tcBorders>
            <w:vAlign w:val="center"/>
          </w:tcPr>
          <w:p w14:paraId="3996E659">
            <w:pPr>
              <w:snapToGrid w:val="0"/>
              <w:rPr>
                <w:rFonts w:hAnsi="宋体" w:cs="方正小标宋_GBK"/>
                <w:snapToGrid w:val="0"/>
                <w:color w:val="000000"/>
                <w:kern w:val="0"/>
                <w:sz w:val="18"/>
                <w:szCs w:val="18"/>
              </w:rPr>
            </w:pPr>
            <w:r>
              <w:rPr>
                <w:rFonts w:hint="eastAsia" w:ascii="宋体" w:hAnsi="宋体" w:cs="方正小标宋_GBK"/>
                <w:sz w:val="18"/>
                <w:szCs w:val="18"/>
              </w:rPr>
              <w:t>系统完好有效，联动控制功能运行正常。不得擅自停用、关闭。</w:t>
            </w:r>
          </w:p>
        </w:tc>
        <w:tc>
          <w:tcPr>
            <w:tcW w:w="2305" w:type="dxa"/>
            <w:tcBorders>
              <w:top w:val="single" w:color="auto" w:sz="4" w:space="0"/>
              <w:left w:val="single" w:color="auto" w:sz="4" w:space="0"/>
              <w:bottom w:val="single" w:color="auto" w:sz="4" w:space="0"/>
              <w:right w:val="single" w:color="auto" w:sz="4" w:space="0"/>
            </w:tcBorders>
          </w:tcPr>
          <w:p w14:paraId="7B6BC95D">
            <w:pPr>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查阅建筑消防设施维保记录。在消防控制室用话筒播音，检查播音区域应正确.音质应清晰；按下一个手动火灾报警按钮或对感烟探测器进行吹烟测试，相应楼层及相邻上、下楼层的应急广播应正常启动。</w:t>
            </w:r>
          </w:p>
        </w:tc>
        <w:tc>
          <w:tcPr>
            <w:tcW w:w="1554" w:type="dxa"/>
            <w:tcBorders>
              <w:top w:val="single" w:color="auto" w:sz="4" w:space="0"/>
              <w:left w:val="single" w:color="auto" w:sz="4" w:space="0"/>
              <w:bottom w:val="single" w:color="auto" w:sz="4" w:space="0"/>
              <w:right w:val="single" w:color="auto" w:sz="4" w:space="0"/>
            </w:tcBorders>
            <w:vAlign w:val="center"/>
          </w:tcPr>
          <w:p w14:paraId="5DA68E3D">
            <w:pPr>
              <w:keepNext/>
              <w:keepLines/>
              <w:snapToGrid w:val="0"/>
              <w:spacing w:before="260" w:after="260" w:line="416" w:lineRule="auto"/>
              <w:rPr>
                <w:rFonts w:cs="方正小标宋_GBK"/>
                <w:snapToGrid w:val="0"/>
                <w:color w:val="000000"/>
                <w:kern w:val="0"/>
                <w:szCs w:val="21"/>
              </w:rPr>
            </w:pPr>
          </w:p>
        </w:tc>
      </w:tr>
      <w:tr w14:paraId="6BE36CD8">
        <w:tblPrEx>
          <w:tblCellMar>
            <w:top w:w="0" w:type="dxa"/>
            <w:left w:w="108" w:type="dxa"/>
            <w:bottom w:w="0" w:type="dxa"/>
            <w:right w:w="108" w:type="dxa"/>
          </w:tblCellMar>
        </w:tblPrEx>
        <w:trPr>
          <w:trHeight w:val="1587" w:hRule="atLeast"/>
          <w:jc w:val="center"/>
        </w:trPr>
        <w:tc>
          <w:tcPr>
            <w:tcW w:w="709" w:type="dxa"/>
            <w:tcBorders>
              <w:left w:val="single" w:color="auto" w:sz="4" w:space="0"/>
              <w:right w:val="single" w:color="auto" w:sz="4" w:space="0"/>
            </w:tcBorders>
            <w:vAlign w:val="center"/>
          </w:tcPr>
          <w:p w14:paraId="346E0941">
            <w:pPr>
              <w:keepNext/>
              <w:keepLines/>
              <w:snapToGrid w:val="0"/>
              <w:spacing w:before="260" w:after="260" w:line="416" w:lineRule="auto"/>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23</w:t>
            </w:r>
          </w:p>
        </w:tc>
        <w:tc>
          <w:tcPr>
            <w:tcW w:w="1375" w:type="dxa"/>
            <w:tcBorders>
              <w:top w:val="single" w:color="auto" w:sz="4" w:space="0"/>
              <w:left w:val="single" w:color="auto" w:sz="4" w:space="0"/>
              <w:bottom w:val="single" w:color="auto" w:sz="4" w:space="0"/>
              <w:right w:val="single" w:color="auto" w:sz="4" w:space="0"/>
            </w:tcBorders>
            <w:vAlign w:val="center"/>
          </w:tcPr>
          <w:p w14:paraId="69729DEA">
            <w:pPr>
              <w:snapToGrid w:val="0"/>
              <w:jc w:val="center"/>
              <w:rPr>
                <w:rFonts w:ascii="宋体" w:hAnsi="宋体" w:cs="方正小标宋_GBK"/>
                <w:sz w:val="18"/>
                <w:szCs w:val="18"/>
              </w:rPr>
            </w:pPr>
            <w:r>
              <w:rPr>
                <w:rFonts w:hint="eastAsia" w:ascii="宋体" w:hAnsi="宋体" w:cs="方正小标宋_GBK"/>
                <w:sz w:val="18"/>
                <w:szCs w:val="18"/>
              </w:rPr>
              <w:t>应急照明、</w:t>
            </w:r>
          </w:p>
          <w:p w14:paraId="4C0BF1F9">
            <w:pPr>
              <w:snapToGrid w:val="0"/>
              <w:jc w:val="center"/>
              <w:rPr>
                <w:rFonts w:ascii="宋体" w:hAnsi="宋体" w:cs="方正小标宋_GBK"/>
                <w:sz w:val="18"/>
                <w:szCs w:val="18"/>
              </w:rPr>
            </w:pPr>
            <w:r>
              <w:rPr>
                <w:rFonts w:hint="eastAsia" w:ascii="宋体" w:hAnsi="宋体" w:cs="方正小标宋_GBK"/>
                <w:sz w:val="18"/>
                <w:szCs w:val="18"/>
              </w:rPr>
              <w:t>疏散指示</w:t>
            </w:r>
          </w:p>
          <w:p w14:paraId="051F0B14">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标志</w:t>
            </w:r>
          </w:p>
        </w:tc>
        <w:tc>
          <w:tcPr>
            <w:tcW w:w="8043" w:type="dxa"/>
            <w:tcBorders>
              <w:top w:val="single" w:color="auto" w:sz="4" w:space="0"/>
              <w:left w:val="single" w:color="auto" w:sz="4" w:space="0"/>
              <w:bottom w:val="single" w:color="auto" w:sz="4" w:space="0"/>
              <w:right w:val="single" w:color="auto" w:sz="4" w:space="0"/>
            </w:tcBorders>
            <w:vAlign w:val="center"/>
          </w:tcPr>
          <w:p w14:paraId="0E1D48C3">
            <w:pPr>
              <w:snapToGrid w:val="0"/>
              <w:rPr>
                <w:rFonts w:hAnsi="宋体" w:cs="方正小标宋_GBK"/>
                <w:snapToGrid w:val="0"/>
                <w:color w:val="000000"/>
                <w:kern w:val="0"/>
                <w:sz w:val="18"/>
                <w:szCs w:val="18"/>
              </w:rPr>
            </w:pPr>
            <w:r>
              <w:rPr>
                <w:rFonts w:hint="eastAsia" w:ascii="宋体" w:hAnsi="宋体" w:cs="方正小标宋_GBK"/>
                <w:sz w:val="18"/>
                <w:szCs w:val="18"/>
              </w:rPr>
              <w:t>系统完好有效，功能测试正常。</w:t>
            </w:r>
          </w:p>
        </w:tc>
        <w:tc>
          <w:tcPr>
            <w:tcW w:w="2305" w:type="dxa"/>
            <w:tcBorders>
              <w:top w:val="single" w:color="auto" w:sz="4" w:space="0"/>
              <w:left w:val="single" w:color="auto" w:sz="4" w:space="0"/>
              <w:bottom w:val="single" w:color="auto" w:sz="4" w:space="0"/>
              <w:right w:val="single" w:color="auto" w:sz="4" w:space="0"/>
            </w:tcBorders>
            <w:vAlign w:val="center"/>
          </w:tcPr>
          <w:p w14:paraId="48B9BA6A">
            <w:pPr>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按标准实地检查。拉下电源总线开关，测试建筑、场所内的应急照明、疏散指示标志应正常启动，应满足人员疏散的照明、指示条件。</w:t>
            </w:r>
          </w:p>
        </w:tc>
        <w:tc>
          <w:tcPr>
            <w:tcW w:w="1554" w:type="dxa"/>
            <w:tcBorders>
              <w:top w:val="single" w:color="auto" w:sz="4" w:space="0"/>
              <w:left w:val="single" w:color="auto" w:sz="4" w:space="0"/>
              <w:bottom w:val="single" w:color="auto" w:sz="4" w:space="0"/>
              <w:right w:val="single" w:color="auto" w:sz="4" w:space="0"/>
            </w:tcBorders>
            <w:vAlign w:val="center"/>
          </w:tcPr>
          <w:p w14:paraId="7F2D68C6">
            <w:pPr>
              <w:keepNext/>
              <w:keepLines/>
              <w:snapToGrid w:val="0"/>
              <w:spacing w:before="260" w:after="260" w:line="416" w:lineRule="auto"/>
              <w:rPr>
                <w:rFonts w:cs="方正小标宋_GBK"/>
                <w:snapToGrid w:val="0"/>
                <w:color w:val="000000"/>
                <w:kern w:val="0"/>
                <w:szCs w:val="21"/>
              </w:rPr>
            </w:pPr>
          </w:p>
        </w:tc>
      </w:tr>
      <w:tr w14:paraId="3374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9" w:type="dxa"/>
            <w:tcBorders>
              <w:left w:val="single" w:color="auto" w:sz="4" w:space="0"/>
              <w:right w:val="single" w:color="auto" w:sz="4" w:space="0"/>
            </w:tcBorders>
            <w:vAlign w:val="center"/>
          </w:tcPr>
          <w:p w14:paraId="0C145944">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24</w:t>
            </w:r>
          </w:p>
        </w:tc>
        <w:tc>
          <w:tcPr>
            <w:tcW w:w="1375" w:type="dxa"/>
            <w:tcBorders>
              <w:top w:val="single" w:color="auto" w:sz="4" w:space="0"/>
              <w:left w:val="single" w:color="auto" w:sz="4" w:space="0"/>
              <w:bottom w:val="single" w:color="auto" w:sz="4" w:space="0"/>
              <w:right w:val="single" w:color="auto" w:sz="4" w:space="0"/>
            </w:tcBorders>
            <w:vAlign w:val="center"/>
          </w:tcPr>
          <w:p w14:paraId="2B4131C0">
            <w:pPr>
              <w:snapToGrid w:val="0"/>
              <w:jc w:val="center"/>
              <w:rPr>
                <w:rFonts w:ascii="宋体" w:hAnsi="宋体" w:cs="方正小标宋_GBK"/>
                <w:sz w:val="18"/>
                <w:szCs w:val="18"/>
              </w:rPr>
            </w:pPr>
            <w:r>
              <w:rPr>
                <w:rFonts w:hint="eastAsia" w:ascii="宋体" w:hAnsi="宋体" w:cs="方正小标宋_GBK"/>
                <w:sz w:val="18"/>
                <w:szCs w:val="18"/>
              </w:rPr>
              <w:t>安全出口及</w:t>
            </w:r>
          </w:p>
          <w:p w14:paraId="1BA1F0D8">
            <w:pPr>
              <w:snapToGrid w:val="0"/>
              <w:jc w:val="center"/>
              <w:rPr>
                <w:rFonts w:hAnsi="宋体" w:cs="方正小标宋_GBK"/>
                <w:snapToGrid w:val="0"/>
                <w:color w:val="000000"/>
                <w:kern w:val="0"/>
                <w:sz w:val="18"/>
                <w:szCs w:val="18"/>
              </w:rPr>
            </w:pPr>
            <w:r>
              <w:rPr>
                <w:rFonts w:hint="eastAsia" w:ascii="宋体" w:hAnsi="宋体" w:cs="方正小标宋_GBK"/>
                <w:sz w:val="18"/>
                <w:szCs w:val="18"/>
              </w:rPr>
              <w:t>疏散通道</w:t>
            </w:r>
          </w:p>
        </w:tc>
        <w:tc>
          <w:tcPr>
            <w:tcW w:w="8043" w:type="dxa"/>
            <w:tcBorders>
              <w:top w:val="single" w:color="auto" w:sz="4" w:space="0"/>
              <w:left w:val="single" w:color="auto" w:sz="4" w:space="0"/>
              <w:bottom w:val="single" w:color="auto" w:sz="4" w:space="0"/>
              <w:right w:val="single" w:color="auto" w:sz="4" w:space="0"/>
            </w:tcBorders>
            <w:vAlign w:val="center"/>
          </w:tcPr>
          <w:p w14:paraId="307CC79D">
            <w:pPr>
              <w:snapToGrid w:val="0"/>
              <w:rPr>
                <w:rFonts w:hAnsi="宋体" w:cs="方正小标宋_GBK"/>
                <w:snapToGrid w:val="0"/>
                <w:color w:val="000000"/>
                <w:kern w:val="0"/>
                <w:sz w:val="18"/>
                <w:szCs w:val="18"/>
              </w:rPr>
            </w:pPr>
            <w:r>
              <w:rPr>
                <w:rFonts w:hint="eastAsia" w:ascii="宋体" w:hAnsi="宋体" w:cs="方正小标宋_GBK"/>
                <w:sz w:val="18"/>
                <w:szCs w:val="18"/>
              </w:rPr>
              <w:t>安全出口不应锁闭，常闭式防火门应处于关闭状态或者设置常开式防火门，疏散门应向疏散方向开启。各个安全出口应明确疏散引导员。疏散通道应保持畅通。</w:t>
            </w:r>
          </w:p>
        </w:tc>
        <w:tc>
          <w:tcPr>
            <w:tcW w:w="2305" w:type="dxa"/>
            <w:tcBorders>
              <w:top w:val="single" w:color="auto" w:sz="4" w:space="0"/>
              <w:left w:val="single" w:color="auto" w:sz="4" w:space="0"/>
              <w:bottom w:val="single" w:color="auto" w:sz="4" w:space="0"/>
              <w:right w:val="single" w:color="auto" w:sz="4" w:space="0"/>
            </w:tcBorders>
            <w:vAlign w:val="center"/>
          </w:tcPr>
          <w:p w14:paraId="70F18482">
            <w:pPr>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4DBD0033">
            <w:pPr>
              <w:keepNext/>
              <w:keepLines/>
              <w:snapToGrid w:val="0"/>
              <w:spacing w:before="260" w:after="260" w:line="416" w:lineRule="auto"/>
              <w:rPr>
                <w:rFonts w:cs="方正小标宋_GBK"/>
                <w:snapToGrid w:val="0"/>
                <w:color w:val="000000"/>
                <w:kern w:val="0"/>
                <w:szCs w:val="21"/>
              </w:rPr>
            </w:pPr>
          </w:p>
        </w:tc>
      </w:tr>
      <w:tr w14:paraId="022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09" w:type="dxa"/>
            <w:tcBorders>
              <w:top w:val="single" w:color="auto" w:sz="4" w:space="0"/>
              <w:left w:val="single" w:color="auto" w:sz="4" w:space="0"/>
              <w:right w:val="single" w:color="auto" w:sz="4" w:space="0"/>
            </w:tcBorders>
            <w:vAlign w:val="center"/>
          </w:tcPr>
          <w:p w14:paraId="0BC51B45">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25</w:t>
            </w:r>
          </w:p>
        </w:tc>
        <w:tc>
          <w:tcPr>
            <w:tcW w:w="1375" w:type="dxa"/>
            <w:tcBorders>
              <w:top w:val="single" w:color="auto" w:sz="4" w:space="0"/>
              <w:left w:val="single" w:color="auto" w:sz="4" w:space="0"/>
              <w:bottom w:val="single" w:color="auto" w:sz="4" w:space="0"/>
              <w:right w:val="single" w:color="auto" w:sz="4" w:space="0"/>
            </w:tcBorders>
            <w:vAlign w:val="center"/>
          </w:tcPr>
          <w:p w14:paraId="6564B5D5">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消防安全标识</w:t>
            </w:r>
          </w:p>
        </w:tc>
        <w:tc>
          <w:tcPr>
            <w:tcW w:w="8043" w:type="dxa"/>
            <w:tcBorders>
              <w:top w:val="single" w:color="auto" w:sz="4" w:space="0"/>
              <w:left w:val="single" w:color="auto" w:sz="4" w:space="0"/>
              <w:bottom w:val="single" w:color="auto" w:sz="4" w:space="0"/>
              <w:right w:val="single" w:color="auto" w:sz="4" w:space="0"/>
            </w:tcBorders>
            <w:vAlign w:val="center"/>
          </w:tcPr>
          <w:p w14:paraId="45CB59F9">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消防设施设备及器材应设置规范、醒目的标识并用文字或图例标明操作使用方法，在主要消防设施设备上张贴维护保养单位、检测单位和维护保养检测情况、消防设施设备开关、阀门上有</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常开</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常闭</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等标识标牌；消防安全重点部位的显著位置和疏散通道、安全出口等处应设置消防安全警示、提示标识；宿舍内应设置应急疏散示意图和禁止卧床吸烟标识。</w:t>
            </w:r>
          </w:p>
        </w:tc>
        <w:tc>
          <w:tcPr>
            <w:tcW w:w="2305" w:type="dxa"/>
            <w:tcBorders>
              <w:top w:val="single" w:color="auto" w:sz="4" w:space="0"/>
              <w:left w:val="single" w:color="auto" w:sz="4" w:space="0"/>
              <w:bottom w:val="single" w:color="auto" w:sz="4" w:space="0"/>
              <w:right w:val="single" w:color="auto" w:sz="4" w:space="0"/>
            </w:tcBorders>
            <w:vAlign w:val="center"/>
          </w:tcPr>
          <w:p w14:paraId="7C1935F1">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相关标识的规格及样式应符合重庆市地方标准《消防安全管理标识》（</w:t>
            </w:r>
            <w:r>
              <w:rPr>
                <w:rFonts w:cs="方正小标宋_GBK"/>
                <w:snapToGrid w:val="0"/>
                <w:color w:val="000000"/>
                <w:kern w:val="0"/>
                <w:sz w:val="18"/>
                <w:szCs w:val="18"/>
              </w:rPr>
              <w:t>DB50/547-2014</w:t>
            </w:r>
            <w:r>
              <w:rPr>
                <w:rFonts w:hint="eastAsia" w:hAnsi="宋体" w:cs="方正小标宋_GBK"/>
                <w:snapToGrid w:val="0"/>
                <w:color w:val="000000"/>
                <w:kern w:val="0"/>
                <w:sz w:val="18"/>
                <w:szCs w:val="18"/>
              </w:rPr>
              <w:t>）。</w:t>
            </w:r>
          </w:p>
        </w:tc>
        <w:tc>
          <w:tcPr>
            <w:tcW w:w="1554" w:type="dxa"/>
            <w:tcBorders>
              <w:top w:val="single" w:color="auto" w:sz="4" w:space="0"/>
              <w:left w:val="single" w:color="auto" w:sz="4" w:space="0"/>
              <w:bottom w:val="single" w:color="auto" w:sz="4" w:space="0"/>
              <w:right w:val="single" w:color="auto" w:sz="4" w:space="0"/>
            </w:tcBorders>
            <w:vAlign w:val="center"/>
          </w:tcPr>
          <w:p w14:paraId="7A12BA97">
            <w:pPr>
              <w:keepNext/>
              <w:keepLines/>
              <w:snapToGrid w:val="0"/>
              <w:spacing w:before="260" w:after="260" w:line="416" w:lineRule="auto"/>
              <w:rPr>
                <w:rFonts w:cs="方正小标宋_GBK"/>
                <w:snapToGrid w:val="0"/>
                <w:color w:val="000000"/>
                <w:kern w:val="0"/>
                <w:szCs w:val="21"/>
              </w:rPr>
            </w:pPr>
          </w:p>
        </w:tc>
      </w:tr>
      <w:tr w14:paraId="278A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09" w:type="dxa"/>
            <w:tcBorders>
              <w:left w:val="single" w:color="auto" w:sz="4" w:space="0"/>
              <w:bottom w:val="single" w:color="auto" w:sz="4" w:space="0"/>
              <w:right w:val="single" w:color="auto" w:sz="4" w:space="0"/>
            </w:tcBorders>
            <w:vAlign w:val="center"/>
          </w:tcPr>
          <w:p w14:paraId="1AA7FCB8">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26</w:t>
            </w:r>
          </w:p>
        </w:tc>
        <w:tc>
          <w:tcPr>
            <w:tcW w:w="1375" w:type="dxa"/>
            <w:tcBorders>
              <w:top w:val="single" w:color="auto" w:sz="4" w:space="0"/>
              <w:left w:val="single" w:color="auto" w:sz="4" w:space="0"/>
              <w:bottom w:val="single" w:color="auto" w:sz="4" w:space="0"/>
              <w:right w:val="single" w:color="auto" w:sz="4" w:space="0"/>
            </w:tcBorders>
            <w:vAlign w:val="center"/>
          </w:tcPr>
          <w:p w14:paraId="294E51A5">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常态化</w:t>
            </w:r>
          </w:p>
          <w:p w14:paraId="3D93A480">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宣传</w:t>
            </w:r>
          </w:p>
          <w:p w14:paraId="149C5004">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教育</w:t>
            </w:r>
          </w:p>
        </w:tc>
        <w:tc>
          <w:tcPr>
            <w:tcW w:w="8043" w:type="dxa"/>
            <w:tcBorders>
              <w:top w:val="single" w:color="auto" w:sz="4" w:space="0"/>
              <w:left w:val="single" w:color="auto" w:sz="4" w:space="0"/>
              <w:bottom w:val="single" w:color="auto" w:sz="4" w:space="0"/>
              <w:right w:val="single" w:color="auto" w:sz="4" w:space="0"/>
            </w:tcBorders>
            <w:vAlign w:val="center"/>
          </w:tcPr>
          <w:p w14:paraId="4283794A">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每半年应至少开展一次全员消防安全教育培训；新员工应经消防安全培训后上岗；所有员工懂得本单位、本岗位的火灾危险性和防火措施，会报警、会扑救初起火灾，会疏散逃生自救；结合服务对象的生理、心理状况，应有针对性地进行防火常识和逃生自救技能教育。</w:t>
            </w:r>
          </w:p>
        </w:tc>
        <w:tc>
          <w:tcPr>
            <w:tcW w:w="2305" w:type="dxa"/>
            <w:tcBorders>
              <w:top w:val="single" w:color="auto" w:sz="4" w:space="0"/>
              <w:left w:val="single" w:color="auto" w:sz="4" w:space="0"/>
              <w:bottom w:val="single" w:color="auto" w:sz="4" w:space="0"/>
              <w:right w:val="single" w:color="auto" w:sz="4" w:space="0"/>
            </w:tcBorders>
            <w:vAlign w:val="center"/>
          </w:tcPr>
          <w:p w14:paraId="36F07DB8">
            <w:pPr>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按标准实地检查。提供员工培训记录，并有影像、图片等证明；随机抽查</w:t>
            </w:r>
            <w:r>
              <w:rPr>
                <w:rFonts w:cs="方正小标宋_GBK"/>
                <w:snapToGrid w:val="0"/>
                <w:color w:val="000000"/>
                <w:kern w:val="0"/>
                <w:sz w:val="18"/>
                <w:szCs w:val="18"/>
              </w:rPr>
              <w:t>3</w:t>
            </w:r>
            <w:r>
              <w:rPr>
                <w:rFonts w:hint="eastAsia" w:hAnsi="宋体" w:cs="方正小标宋_GBK"/>
                <w:snapToGrid w:val="0"/>
                <w:color w:val="000000"/>
                <w:kern w:val="0"/>
                <w:sz w:val="18"/>
                <w:szCs w:val="18"/>
              </w:rPr>
              <w:t>至</w:t>
            </w:r>
            <w:r>
              <w:rPr>
                <w:rFonts w:cs="方正小标宋_GBK"/>
                <w:snapToGrid w:val="0"/>
                <w:color w:val="000000"/>
                <w:kern w:val="0"/>
                <w:sz w:val="18"/>
                <w:szCs w:val="18"/>
              </w:rPr>
              <w:t>5</w:t>
            </w:r>
            <w:r>
              <w:rPr>
                <w:rFonts w:hint="eastAsia" w:hAnsi="宋体" w:cs="方正小标宋_GBK"/>
                <w:snapToGrid w:val="0"/>
                <w:color w:val="000000"/>
                <w:kern w:val="0"/>
                <w:sz w:val="18"/>
                <w:szCs w:val="18"/>
              </w:rPr>
              <w:t>名员工，应会报火警电话，应会熟练操作灭火器、室内消火栓；应清楚所在岗位的最近疏散路线。</w:t>
            </w:r>
          </w:p>
        </w:tc>
        <w:tc>
          <w:tcPr>
            <w:tcW w:w="1554" w:type="dxa"/>
            <w:tcBorders>
              <w:top w:val="single" w:color="auto" w:sz="4" w:space="0"/>
              <w:left w:val="single" w:color="auto" w:sz="4" w:space="0"/>
              <w:bottom w:val="single" w:color="auto" w:sz="4" w:space="0"/>
              <w:right w:val="single" w:color="auto" w:sz="4" w:space="0"/>
            </w:tcBorders>
            <w:vAlign w:val="center"/>
          </w:tcPr>
          <w:p w14:paraId="0C4C842A">
            <w:pPr>
              <w:keepNext/>
              <w:keepLines/>
              <w:snapToGrid w:val="0"/>
              <w:spacing w:before="260" w:after="260" w:line="416" w:lineRule="auto"/>
              <w:rPr>
                <w:rFonts w:cs="方正小标宋_GBK"/>
                <w:snapToGrid w:val="0"/>
                <w:color w:val="000000"/>
                <w:kern w:val="0"/>
                <w:szCs w:val="21"/>
              </w:rPr>
            </w:pPr>
          </w:p>
        </w:tc>
      </w:tr>
      <w:tr w14:paraId="6B93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09" w:type="dxa"/>
            <w:tcBorders>
              <w:top w:val="single" w:color="auto" w:sz="4" w:space="0"/>
              <w:left w:val="single" w:color="auto" w:sz="4" w:space="0"/>
              <w:right w:val="single" w:color="auto" w:sz="4" w:space="0"/>
            </w:tcBorders>
            <w:vAlign w:val="center"/>
          </w:tcPr>
          <w:p w14:paraId="464D7AC4">
            <w:pPr>
              <w:snapToGrid w:val="0"/>
              <w:jc w:val="center"/>
              <w:rPr>
                <w:rFonts w:ascii="Times New Roman" w:hAnsi="Times New Roman" w:cs="Times New Roman"/>
                <w:sz w:val="18"/>
                <w:szCs w:val="18"/>
              </w:rPr>
            </w:pPr>
            <w:r>
              <w:rPr>
                <w:rFonts w:ascii="Times New Roman" w:hAnsi="Times New Roman" w:cs="Times New Roman"/>
                <w:sz w:val="18"/>
                <w:szCs w:val="18"/>
              </w:rPr>
              <w:t>27</w:t>
            </w:r>
          </w:p>
        </w:tc>
        <w:tc>
          <w:tcPr>
            <w:tcW w:w="1375" w:type="dxa"/>
            <w:tcBorders>
              <w:top w:val="single" w:color="auto" w:sz="4" w:space="0"/>
              <w:left w:val="single" w:color="auto" w:sz="4" w:space="0"/>
              <w:bottom w:val="single" w:color="auto" w:sz="4" w:space="0"/>
              <w:right w:val="single" w:color="auto" w:sz="4" w:space="0"/>
            </w:tcBorders>
            <w:vAlign w:val="center"/>
          </w:tcPr>
          <w:p w14:paraId="35B54920">
            <w:pPr>
              <w:snapToGrid w:val="0"/>
              <w:jc w:val="center"/>
              <w:rPr>
                <w:rFonts w:ascii="宋体" w:hAnsi="宋体" w:cs="方正小标宋_GBK"/>
                <w:sz w:val="18"/>
                <w:szCs w:val="18"/>
              </w:rPr>
            </w:pPr>
            <w:r>
              <w:rPr>
                <w:rFonts w:hint="eastAsia" w:ascii="宋体" w:hAnsi="宋体" w:cs="方正小标宋_GBK"/>
                <w:sz w:val="18"/>
                <w:szCs w:val="18"/>
              </w:rPr>
              <w:t>志愿</w:t>
            </w:r>
          </w:p>
          <w:p w14:paraId="7037913C">
            <w:pPr>
              <w:snapToGrid w:val="0"/>
              <w:jc w:val="center"/>
              <w:rPr>
                <w:rFonts w:ascii="宋体" w:hAnsi="宋体" w:cs="方正小标宋_GBK"/>
                <w:sz w:val="18"/>
                <w:szCs w:val="18"/>
              </w:rPr>
            </w:pPr>
            <w:r>
              <w:rPr>
                <w:rFonts w:hint="eastAsia" w:ascii="宋体" w:hAnsi="宋体" w:cs="方正小标宋_GBK"/>
                <w:sz w:val="18"/>
                <w:szCs w:val="18"/>
              </w:rPr>
              <w:t>消防</w:t>
            </w:r>
          </w:p>
          <w:p w14:paraId="6A93903D">
            <w:pPr>
              <w:snapToGrid w:val="0"/>
              <w:jc w:val="center"/>
              <w:rPr>
                <w:rFonts w:cs="方正小标宋_GBK"/>
                <w:snapToGrid w:val="0"/>
                <w:color w:val="000000"/>
                <w:kern w:val="0"/>
                <w:sz w:val="18"/>
                <w:szCs w:val="18"/>
              </w:rPr>
            </w:pPr>
            <w:r>
              <w:rPr>
                <w:rFonts w:hint="eastAsia" w:ascii="宋体" w:hAnsi="宋体" w:cs="方正小标宋_GBK"/>
                <w:sz w:val="18"/>
                <w:szCs w:val="18"/>
              </w:rPr>
              <w:t>队伍</w:t>
            </w:r>
          </w:p>
        </w:tc>
        <w:tc>
          <w:tcPr>
            <w:tcW w:w="8043" w:type="dxa"/>
            <w:tcBorders>
              <w:top w:val="single" w:color="auto" w:sz="4" w:space="0"/>
              <w:left w:val="single" w:color="auto" w:sz="4" w:space="0"/>
              <w:bottom w:val="single" w:color="auto" w:sz="4" w:space="0"/>
              <w:right w:val="single" w:color="auto" w:sz="4" w:space="0"/>
            </w:tcBorders>
            <w:vAlign w:val="center"/>
          </w:tcPr>
          <w:p w14:paraId="7AA17D58">
            <w:pPr>
              <w:snapToGrid w:val="0"/>
              <w:rPr>
                <w:rFonts w:cs="方正小标宋_GBK"/>
                <w:snapToGrid w:val="0"/>
                <w:color w:val="000000"/>
                <w:kern w:val="0"/>
                <w:sz w:val="18"/>
                <w:szCs w:val="18"/>
              </w:rPr>
            </w:pPr>
            <w:r>
              <w:rPr>
                <w:rFonts w:hint="eastAsia" w:ascii="宋体" w:hAnsi="宋体" w:cs="方正小标宋_GBK"/>
                <w:sz w:val="18"/>
                <w:szCs w:val="18"/>
              </w:rPr>
              <w:t>应结合本单位实际建立志愿消防队，配备必要的防护装备和灭火器材，定期开展训练；志愿消防队员应包含消防管理人员、保安员及护理、医务等服务人员，队员数量不应少于本单位从业人员数量的</w:t>
            </w:r>
            <w:r>
              <w:rPr>
                <w:rFonts w:ascii="宋体" w:hAnsi="宋体" w:cs="方正小标宋_GBK"/>
                <w:sz w:val="18"/>
                <w:szCs w:val="18"/>
              </w:rPr>
              <w:t>30%，并能保证每班次随时能够出动足够的灭火救援力量。</w:t>
            </w:r>
          </w:p>
        </w:tc>
        <w:tc>
          <w:tcPr>
            <w:tcW w:w="2305" w:type="dxa"/>
            <w:tcBorders>
              <w:top w:val="single" w:color="auto" w:sz="4" w:space="0"/>
              <w:left w:val="single" w:color="auto" w:sz="4" w:space="0"/>
              <w:bottom w:val="single" w:color="auto" w:sz="4" w:space="0"/>
              <w:right w:val="single" w:color="auto" w:sz="4" w:space="0"/>
            </w:tcBorders>
            <w:vAlign w:val="center"/>
          </w:tcPr>
          <w:p w14:paraId="4F6D67A2">
            <w:pPr>
              <w:snapToGrid w:val="0"/>
              <w:rPr>
                <w:rFonts w:cs="方正小标宋_GBK"/>
                <w:snapToGrid w:val="0"/>
                <w:color w:val="000000"/>
                <w:kern w:val="0"/>
                <w:sz w:val="18"/>
                <w:szCs w:val="18"/>
              </w:rPr>
            </w:pPr>
            <w:r>
              <w:rPr>
                <w:rFonts w:hint="eastAsia" w:ascii="宋体" w:hAnsi="宋体" w:cs="方正小标宋_GBK"/>
                <w:sz w:val="18"/>
                <w:szCs w:val="18"/>
              </w:rPr>
              <w:t>按标准实地检查并查阅资料。提供志愿消防队人员名册，随即核实当日值班备勤人员应在岗在位。</w:t>
            </w:r>
          </w:p>
        </w:tc>
        <w:tc>
          <w:tcPr>
            <w:tcW w:w="1554" w:type="dxa"/>
            <w:tcBorders>
              <w:top w:val="single" w:color="auto" w:sz="4" w:space="0"/>
              <w:left w:val="single" w:color="auto" w:sz="4" w:space="0"/>
              <w:bottom w:val="single" w:color="auto" w:sz="4" w:space="0"/>
              <w:right w:val="single" w:color="auto" w:sz="4" w:space="0"/>
            </w:tcBorders>
            <w:vAlign w:val="center"/>
          </w:tcPr>
          <w:p w14:paraId="27D6CCC3">
            <w:pPr>
              <w:snapToGrid w:val="0"/>
              <w:rPr>
                <w:rFonts w:cs="方正小标宋_GBK"/>
                <w:snapToGrid w:val="0"/>
                <w:color w:val="000000"/>
                <w:kern w:val="0"/>
                <w:szCs w:val="21"/>
              </w:rPr>
            </w:pPr>
          </w:p>
        </w:tc>
      </w:tr>
      <w:tr w14:paraId="1961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09" w:type="dxa"/>
            <w:tcBorders>
              <w:left w:val="single" w:color="auto" w:sz="4" w:space="0"/>
              <w:right w:val="single" w:color="auto" w:sz="4" w:space="0"/>
            </w:tcBorders>
            <w:vAlign w:val="center"/>
          </w:tcPr>
          <w:p w14:paraId="4D4FD8E0">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28</w:t>
            </w:r>
          </w:p>
        </w:tc>
        <w:tc>
          <w:tcPr>
            <w:tcW w:w="1375" w:type="dxa"/>
            <w:tcBorders>
              <w:top w:val="single" w:color="auto" w:sz="4" w:space="0"/>
              <w:left w:val="single" w:color="auto" w:sz="4" w:space="0"/>
              <w:bottom w:val="single" w:color="auto" w:sz="4" w:space="0"/>
              <w:right w:val="single" w:color="auto" w:sz="4" w:space="0"/>
            </w:tcBorders>
            <w:vAlign w:val="center"/>
          </w:tcPr>
          <w:p w14:paraId="13A0D713">
            <w:pPr>
              <w:snapToGrid w:val="0"/>
              <w:jc w:val="center"/>
              <w:rPr>
                <w:rFonts w:ascii="宋体" w:hAnsi="宋体" w:cs="方正小标宋_GBK"/>
                <w:sz w:val="18"/>
                <w:szCs w:val="18"/>
              </w:rPr>
            </w:pPr>
            <w:r>
              <w:rPr>
                <w:rFonts w:hint="eastAsia" w:ascii="宋体" w:hAnsi="宋体" w:cs="方正小标宋_GBK"/>
                <w:sz w:val="18"/>
                <w:szCs w:val="18"/>
              </w:rPr>
              <w:t>预案及</w:t>
            </w:r>
          </w:p>
          <w:p w14:paraId="06A186D7">
            <w:pPr>
              <w:snapToGrid w:val="0"/>
              <w:jc w:val="center"/>
              <w:rPr>
                <w:rFonts w:cs="方正小标宋_GBK"/>
                <w:snapToGrid w:val="0"/>
                <w:color w:val="000000"/>
                <w:kern w:val="0"/>
                <w:sz w:val="18"/>
                <w:szCs w:val="18"/>
              </w:rPr>
            </w:pPr>
            <w:r>
              <w:rPr>
                <w:rFonts w:hint="eastAsia" w:ascii="宋体" w:hAnsi="宋体" w:cs="方正小标宋_GBK"/>
                <w:sz w:val="18"/>
                <w:szCs w:val="18"/>
              </w:rPr>
              <w:t>演练</w:t>
            </w:r>
          </w:p>
        </w:tc>
        <w:tc>
          <w:tcPr>
            <w:tcW w:w="8043" w:type="dxa"/>
            <w:tcBorders>
              <w:top w:val="single" w:color="auto" w:sz="4" w:space="0"/>
              <w:left w:val="single" w:color="auto" w:sz="4" w:space="0"/>
              <w:bottom w:val="single" w:color="auto" w:sz="4" w:space="0"/>
              <w:right w:val="single" w:color="auto" w:sz="4" w:space="0"/>
            </w:tcBorders>
            <w:vAlign w:val="center"/>
          </w:tcPr>
          <w:p w14:paraId="2E8860E9">
            <w:pPr>
              <w:snapToGrid w:val="0"/>
              <w:rPr>
                <w:rFonts w:cs="方正小标宋_GBK"/>
                <w:snapToGrid w:val="0"/>
                <w:color w:val="000000"/>
                <w:kern w:val="0"/>
                <w:sz w:val="18"/>
                <w:szCs w:val="18"/>
              </w:rPr>
            </w:pPr>
            <w:r>
              <w:rPr>
                <w:rFonts w:hint="eastAsia" w:ascii="宋体" w:hAnsi="宋体" w:cs="方正小标宋_GBK"/>
                <w:sz w:val="18"/>
                <w:szCs w:val="18"/>
              </w:rPr>
              <w:t>应制定符合单位实际的灭火和应急疏散预案；每半年组织各级各岗位人员共同参与的演练；预案应明确火灾报警和接警处置、应急疏散、扑救初起火灾以及安全防护救护的程序、方法和措施，应针对无自理能力的服务对象，逐一明确火灾发生时的救护人员，确保火灾发生时，能够在短时间内将人员疏散到安全区域。</w:t>
            </w:r>
          </w:p>
        </w:tc>
        <w:tc>
          <w:tcPr>
            <w:tcW w:w="2305" w:type="dxa"/>
            <w:tcBorders>
              <w:top w:val="single" w:color="auto" w:sz="4" w:space="0"/>
              <w:left w:val="single" w:color="auto" w:sz="4" w:space="0"/>
              <w:bottom w:val="single" w:color="auto" w:sz="4" w:space="0"/>
              <w:right w:val="single" w:color="auto" w:sz="4" w:space="0"/>
            </w:tcBorders>
            <w:vAlign w:val="center"/>
          </w:tcPr>
          <w:p w14:paraId="0F59238C">
            <w:pPr>
              <w:snapToGrid w:val="0"/>
              <w:rPr>
                <w:rFonts w:cs="方正小标宋_GBK"/>
                <w:snapToGrid w:val="0"/>
                <w:color w:val="000000"/>
                <w:kern w:val="0"/>
                <w:sz w:val="18"/>
                <w:szCs w:val="18"/>
              </w:rPr>
            </w:pPr>
            <w:r>
              <w:rPr>
                <w:rFonts w:hint="eastAsia" w:ascii="宋体" w:hAnsi="宋体" w:cs="方正小标宋_GBK"/>
                <w:sz w:val="18"/>
                <w:szCs w:val="18"/>
              </w:rPr>
              <w:t>按标准实地检查并查阅资料。</w:t>
            </w:r>
          </w:p>
        </w:tc>
        <w:tc>
          <w:tcPr>
            <w:tcW w:w="1554" w:type="dxa"/>
            <w:tcBorders>
              <w:top w:val="single" w:color="auto" w:sz="4" w:space="0"/>
              <w:left w:val="single" w:color="auto" w:sz="4" w:space="0"/>
              <w:bottom w:val="single" w:color="auto" w:sz="4" w:space="0"/>
              <w:right w:val="single" w:color="auto" w:sz="4" w:space="0"/>
            </w:tcBorders>
            <w:vAlign w:val="center"/>
          </w:tcPr>
          <w:p w14:paraId="49F4EB13">
            <w:pPr>
              <w:snapToGrid w:val="0"/>
              <w:rPr>
                <w:rFonts w:cs="方正小标宋_GBK"/>
                <w:snapToGrid w:val="0"/>
                <w:color w:val="000000"/>
                <w:kern w:val="0"/>
                <w:szCs w:val="21"/>
              </w:rPr>
            </w:pPr>
          </w:p>
        </w:tc>
      </w:tr>
      <w:tr w14:paraId="5DAC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9" w:type="dxa"/>
            <w:tcBorders>
              <w:left w:val="single" w:color="auto" w:sz="4" w:space="0"/>
              <w:bottom w:val="single" w:color="auto" w:sz="4" w:space="0"/>
              <w:right w:val="single" w:color="auto" w:sz="4" w:space="0"/>
            </w:tcBorders>
            <w:vAlign w:val="center"/>
          </w:tcPr>
          <w:p w14:paraId="3FB73578">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29</w:t>
            </w:r>
          </w:p>
        </w:tc>
        <w:tc>
          <w:tcPr>
            <w:tcW w:w="1375" w:type="dxa"/>
            <w:tcBorders>
              <w:top w:val="single" w:color="auto" w:sz="4" w:space="0"/>
              <w:left w:val="single" w:color="auto" w:sz="4" w:space="0"/>
              <w:bottom w:val="single" w:color="auto" w:sz="4" w:space="0"/>
              <w:right w:val="single" w:color="auto" w:sz="4" w:space="0"/>
            </w:tcBorders>
            <w:vAlign w:val="center"/>
          </w:tcPr>
          <w:p w14:paraId="2A8ECCC7">
            <w:pPr>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应急处置措施</w:t>
            </w:r>
          </w:p>
        </w:tc>
        <w:tc>
          <w:tcPr>
            <w:tcW w:w="8043" w:type="dxa"/>
            <w:tcBorders>
              <w:top w:val="single" w:color="auto" w:sz="4" w:space="0"/>
              <w:left w:val="single" w:color="auto" w:sz="4" w:space="0"/>
              <w:bottom w:val="single" w:color="auto" w:sz="4" w:space="0"/>
              <w:right w:val="single" w:color="auto" w:sz="4" w:space="0"/>
            </w:tcBorders>
            <w:vAlign w:val="center"/>
          </w:tcPr>
          <w:p w14:paraId="6DEDBA32">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应结合本单位实际，将无自理能力的服务对象优先安排在建筑较低层和便于疏散的地点，并配备一定数量的轮椅、担架等必要器材。</w:t>
            </w:r>
          </w:p>
        </w:tc>
        <w:tc>
          <w:tcPr>
            <w:tcW w:w="2305" w:type="dxa"/>
            <w:tcBorders>
              <w:top w:val="single" w:color="auto" w:sz="4" w:space="0"/>
              <w:left w:val="single" w:color="auto" w:sz="4" w:space="0"/>
              <w:bottom w:val="single" w:color="auto" w:sz="4" w:space="0"/>
              <w:right w:val="single" w:color="auto" w:sz="4" w:space="0"/>
            </w:tcBorders>
            <w:vAlign w:val="center"/>
          </w:tcPr>
          <w:p w14:paraId="675151E9">
            <w:pPr>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按标准实地检查并查阅资料。</w:t>
            </w:r>
          </w:p>
        </w:tc>
        <w:tc>
          <w:tcPr>
            <w:tcW w:w="1554" w:type="dxa"/>
            <w:tcBorders>
              <w:top w:val="single" w:color="auto" w:sz="4" w:space="0"/>
              <w:left w:val="single" w:color="auto" w:sz="4" w:space="0"/>
              <w:bottom w:val="single" w:color="auto" w:sz="4" w:space="0"/>
              <w:right w:val="single" w:color="auto" w:sz="4" w:space="0"/>
            </w:tcBorders>
            <w:vAlign w:val="center"/>
          </w:tcPr>
          <w:p w14:paraId="29639D03">
            <w:pPr>
              <w:snapToGrid w:val="0"/>
              <w:rPr>
                <w:rFonts w:cs="方正小标宋_GBK"/>
                <w:snapToGrid w:val="0"/>
                <w:color w:val="000000"/>
                <w:kern w:val="0"/>
                <w:szCs w:val="21"/>
              </w:rPr>
            </w:pPr>
          </w:p>
        </w:tc>
      </w:tr>
      <w:tr w14:paraId="1146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9" w:type="dxa"/>
            <w:tcBorders>
              <w:left w:val="single" w:color="auto" w:sz="4" w:space="0"/>
              <w:bottom w:val="single" w:color="auto" w:sz="4" w:space="0"/>
              <w:right w:val="single" w:color="auto" w:sz="4" w:space="0"/>
            </w:tcBorders>
            <w:vAlign w:val="center"/>
          </w:tcPr>
          <w:p w14:paraId="29E25219">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30</w:t>
            </w:r>
          </w:p>
        </w:tc>
        <w:tc>
          <w:tcPr>
            <w:tcW w:w="1375" w:type="dxa"/>
            <w:tcBorders>
              <w:top w:val="single" w:color="auto" w:sz="4" w:space="0"/>
              <w:left w:val="single" w:color="auto" w:sz="4" w:space="0"/>
              <w:bottom w:val="single" w:color="auto" w:sz="4" w:space="0"/>
              <w:right w:val="single" w:color="auto" w:sz="4" w:space="0"/>
            </w:tcBorders>
            <w:vAlign w:val="center"/>
          </w:tcPr>
          <w:p w14:paraId="69ADE04F">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燃气设施设备安装使用情况</w:t>
            </w:r>
          </w:p>
        </w:tc>
        <w:tc>
          <w:tcPr>
            <w:tcW w:w="8043" w:type="dxa"/>
            <w:tcBorders>
              <w:top w:val="single" w:color="auto" w:sz="4" w:space="0"/>
              <w:left w:val="single" w:color="auto" w:sz="4" w:space="0"/>
              <w:bottom w:val="single" w:color="auto" w:sz="4" w:space="0"/>
              <w:right w:val="single" w:color="auto" w:sz="4" w:space="0"/>
            </w:tcBorders>
            <w:vAlign w:val="center"/>
          </w:tcPr>
          <w:p w14:paraId="71AA1970">
            <w:pPr>
              <w:snapToGrid w:val="0"/>
              <w:rPr>
                <w:rFonts w:hAnsi="宋体" w:cs="方正小标宋_GBK"/>
                <w:snapToGrid w:val="0"/>
                <w:color w:val="000000"/>
                <w:kern w:val="0"/>
                <w:sz w:val="18"/>
                <w:szCs w:val="18"/>
              </w:rPr>
            </w:pPr>
            <w:r>
              <w:rPr>
                <w:rFonts w:hint="eastAsia" w:ascii="宋体" w:hAnsi="宋体" w:eastAsia="宋体" w:cs="宋体"/>
                <w:color w:val="000000"/>
                <w:kern w:val="0"/>
                <w:sz w:val="18"/>
                <w:szCs w:val="18"/>
              </w:rPr>
              <w:t>设置可燃气体报警装置；定期维护保养燃气设施设备；燃气设施使用正确，无私自拆、移、改动燃气装置，无私自使用燃气热水器、取暖器和其他燃气器具等；燃气设施清洁干净卫生，周围无可燃物品和其他杂物堆放。</w:t>
            </w:r>
          </w:p>
        </w:tc>
        <w:tc>
          <w:tcPr>
            <w:tcW w:w="2305" w:type="dxa"/>
            <w:tcBorders>
              <w:top w:val="single" w:color="auto" w:sz="4" w:space="0"/>
              <w:left w:val="single" w:color="auto" w:sz="4" w:space="0"/>
              <w:bottom w:val="single" w:color="auto" w:sz="4" w:space="0"/>
              <w:right w:val="single" w:color="auto" w:sz="4" w:space="0"/>
            </w:tcBorders>
            <w:vAlign w:val="center"/>
          </w:tcPr>
          <w:p w14:paraId="62302966">
            <w:pPr>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06E18484">
            <w:pPr>
              <w:snapToGrid w:val="0"/>
              <w:rPr>
                <w:rFonts w:cs="方正小标宋_GBK"/>
                <w:snapToGrid w:val="0"/>
                <w:color w:val="000000"/>
                <w:kern w:val="0"/>
                <w:szCs w:val="21"/>
              </w:rPr>
            </w:pPr>
          </w:p>
        </w:tc>
      </w:tr>
      <w:tr w14:paraId="7B3C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9" w:type="dxa"/>
            <w:tcBorders>
              <w:left w:val="single" w:color="auto" w:sz="4" w:space="0"/>
              <w:bottom w:val="single" w:color="auto" w:sz="4" w:space="0"/>
              <w:right w:val="single" w:color="auto" w:sz="4" w:space="0"/>
            </w:tcBorders>
            <w:vAlign w:val="center"/>
          </w:tcPr>
          <w:p w14:paraId="0F3F2190">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31</w:t>
            </w:r>
          </w:p>
        </w:tc>
        <w:tc>
          <w:tcPr>
            <w:tcW w:w="1375" w:type="dxa"/>
            <w:tcBorders>
              <w:top w:val="single" w:color="auto" w:sz="4" w:space="0"/>
              <w:left w:val="single" w:color="auto" w:sz="4" w:space="0"/>
              <w:bottom w:val="single" w:color="auto" w:sz="4" w:space="0"/>
              <w:right w:val="single" w:color="auto" w:sz="4" w:space="0"/>
            </w:tcBorders>
            <w:vAlign w:val="center"/>
          </w:tcPr>
          <w:p w14:paraId="6AE338F0">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人员住宿和主要活动场所装</w:t>
            </w:r>
            <w:r>
              <w:rPr>
                <w:rFonts w:hint="eastAsia" w:ascii="宋体" w:hAnsi="宋体" w:eastAsia="宋体" w:cs="宋体"/>
                <w:color w:val="000000"/>
                <w:kern w:val="0"/>
                <w:sz w:val="18"/>
                <w:szCs w:val="18"/>
              </w:rPr>
              <w:t>饰装修材料</w:t>
            </w:r>
          </w:p>
        </w:tc>
        <w:tc>
          <w:tcPr>
            <w:tcW w:w="8043" w:type="dxa"/>
            <w:tcBorders>
              <w:top w:val="single" w:color="auto" w:sz="4" w:space="0"/>
              <w:left w:val="single" w:color="auto" w:sz="4" w:space="0"/>
              <w:bottom w:val="single" w:color="auto" w:sz="4" w:space="0"/>
              <w:right w:val="single" w:color="auto" w:sz="4" w:space="0"/>
            </w:tcBorders>
            <w:vAlign w:val="center"/>
          </w:tcPr>
          <w:p w14:paraId="40A3A55A">
            <w:pPr>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人员住宿和主要活动场所严禁使用易燃可燃装饰装修材料，严禁采用夹芯材料燃烧性能低于A级的彩钢板搭建有人居住或者活动的场所。</w:t>
            </w:r>
          </w:p>
        </w:tc>
        <w:tc>
          <w:tcPr>
            <w:tcW w:w="2305" w:type="dxa"/>
            <w:tcBorders>
              <w:top w:val="single" w:color="auto" w:sz="4" w:space="0"/>
              <w:left w:val="single" w:color="auto" w:sz="4" w:space="0"/>
              <w:bottom w:val="single" w:color="auto" w:sz="4" w:space="0"/>
              <w:right w:val="single" w:color="auto" w:sz="4" w:space="0"/>
            </w:tcBorders>
            <w:vAlign w:val="center"/>
          </w:tcPr>
          <w:p w14:paraId="1882FB8A">
            <w:pPr>
              <w:snapToGrid w:val="0"/>
              <w:rPr>
                <w:rFonts w:ascii="宋体" w:hAnsi="宋体" w:cs="方正小标宋_GBK"/>
                <w:sz w:val="18"/>
                <w:szCs w:val="18"/>
              </w:rPr>
            </w:pPr>
            <w:r>
              <w:rPr>
                <w:rFonts w:hint="eastAsia" w:hAnsi="宋体" w:cs="方正小标宋_GBK"/>
                <w:snapToGrid w:val="0"/>
                <w:color w:val="000000"/>
                <w:kern w:val="0"/>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3AAB41CC">
            <w:pPr>
              <w:snapToGrid w:val="0"/>
              <w:rPr>
                <w:rFonts w:cs="方正小标宋_GBK"/>
                <w:snapToGrid w:val="0"/>
                <w:color w:val="000000"/>
                <w:kern w:val="0"/>
                <w:szCs w:val="21"/>
              </w:rPr>
            </w:pPr>
          </w:p>
        </w:tc>
      </w:tr>
      <w:tr w14:paraId="5598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9" w:type="dxa"/>
            <w:tcBorders>
              <w:left w:val="single" w:color="auto" w:sz="4" w:space="0"/>
              <w:bottom w:val="single" w:color="auto" w:sz="4" w:space="0"/>
              <w:right w:val="single" w:color="auto" w:sz="4" w:space="0"/>
            </w:tcBorders>
            <w:vAlign w:val="center"/>
          </w:tcPr>
          <w:p w14:paraId="2B7505DA">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32</w:t>
            </w:r>
          </w:p>
        </w:tc>
        <w:tc>
          <w:tcPr>
            <w:tcW w:w="1375" w:type="dxa"/>
            <w:tcBorders>
              <w:top w:val="single" w:color="auto" w:sz="4" w:space="0"/>
              <w:left w:val="single" w:color="auto" w:sz="4" w:space="0"/>
              <w:bottom w:val="single" w:color="auto" w:sz="4" w:space="0"/>
              <w:right w:val="single" w:color="auto" w:sz="4" w:space="0"/>
            </w:tcBorders>
            <w:vAlign w:val="center"/>
          </w:tcPr>
          <w:p w14:paraId="6CAC4A3D">
            <w:pPr>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易燃易爆危险品情况</w:t>
            </w:r>
          </w:p>
        </w:tc>
        <w:tc>
          <w:tcPr>
            <w:tcW w:w="8043" w:type="dxa"/>
            <w:tcBorders>
              <w:top w:val="single" w:color="auto" w:sz="4" w:space="0"/>
              <w:left w:val="single" w:color="auto" w:sz="4" w:space="0"/>
              <w:bottom w:val="single" w:color="auto" w:sz="4" w:space="0"/>
              <w:right w:val="single" w:color="auto" w:sz="4" w:space="0"/>
            </w:tcBorders>
            <w:vAlign w:val="center"/>
          </w:tcPr>
          <w:p w14:paraId="76912793">
            <w:pPr>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不存在违规带入、存放易燃易爆危险品的情况。</w:t>
            </w:r>
          </w:p>
        </w:tc>
        <w:tc>
          <w:tcPr>
            <w:tcW w:w="2305" w:type="dxa"/>
            <w:tcBorders>
              <w:top w:val="single" w:color="auto" w:sz="4" w:space="0"/>
              <w:left w:val="single" w:color="auto" w:sz="4" w:space="0"/>
              <w:bottom w:val="single" w:color="auto" w:sz="4" w:space="0"/>
              <w:right w:val="single" w:color="auto" w:sz="4" w:space="0"/>
            </w:tcBorders>
            <w:vAlign w:val="center"/>
          </w:tcPr>
          <w:p w14:paraId="3D67364A">
            <w:pPr>
              <w:snapToGrid w:val="0"/>
              <w:rPr>
                <w:rFonts w:ascii="宋体" w:hAnsi="宋体" w:cs="方正小标宋_GBK"/>
                <w:sz w:val="18"/>
                <w:szCs w:val="18"/>
              </w:rPr>
            </w:pPr>
            <w:r>
              <w:rPr>
                <w:rFonts w:hint="eastAsia" w:hAnsi="宋体" w:cs="方正小标宋_GBK"/>
                <w:snapToGrid w:val="0"/>
                <w:color w:val="000000"/>
                <w:kern w:val="0"/>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287D52F7">
            <w:pPr>
              <w:snapToGrid w:val="0"/>
              <w:rPr>
                <w:rFonts w:cs="方正小标宋_GBK"/>
                <w:snapToGrid w:val="0"/>
                <w:color w:val="000000"/>
                <w:kern w:val="0"/>
                <w:szCs w:val="21"/>
              </w:rPr>
            </w:pPr>
          </w:p>
        </w:tc>
      </w:tr>
      <w:tr w14:paraId="4B3A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9" w:type="dxa"/>
            <w:tcBorders>
              <w:left w:val="single" w:color="auto" w:sz="4" w:space="0"/>
              <w:bottom w:val="single" w:color="auto" w:sz="4" w:space="0"/>
              <w:right w:val="single" w:color="auto" w:sz="4" w:space="0"/>
            </w:tcBorders>
            <w:vAlign w:val="center"/>
          </w:tcPr>
          <w:p w14:paraId="4A5611E4">
            <w:pPr>
              <w:snapToGrid w:val="0"/>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33</w:t>
            </w:r>
          </w:p>
        </w:tc>
        <w:tc>
          <w:tcPr>
            <w:tcW w:w="1375" w:type="dxa"/>
            <w:tcBorders>
              <w:top w:val="single" w:color="auto" w:sz="4" w:space="0"/>
              <w:left w:val="single" w:color="auto" w:sz="4" w:space="0"/>
              <w:bottom w:val="single" w:color="auto" w:sz="4" w:space="0"/>
              <w:right w:val="single" w:color="auto" w:sz="4" w:space="0"/>
            </w:tcBorders>
            <w:vAlign w:val="center"/>
          </w:tcPr>
          <w:p w14:paraId="257344DE">
            <w:pPr>
              <w:snapToGrid w:val="0"/>
              <w:jc w:val="center"/>
              <w:rPr>
                <w:rFonts w:hAnsi="宋体" w:cs="方正小标宋_GBK"/>
                <w:snapToGrid w:val="0"/>
                <w:color w:val="000000"/>
                <w:kern w:val="0"/>
                <w:sz w:val="18"/>
                <w:szCs w:val="18"/>
              </w:rPr>
            </w:pPr>
            <w:r>
              <w:rPr>
                <w:rFonts w:hint="eastAsia" w:ascii="宋体" w:hAnsi="宋体" w:eastAsia="宋体" w:cs="宋体"/>
                <w:color w:val="000000"/>
                <w:kern w:val="0"/>
                <w:sz w:val="18"/>
                <w:szCs w:val="18"/>
              </w:rPr>
              <w:t>电动车停放充电情况</w:t>
            </w:r>
          </w:p>
        </w:tc>
        <w:tc>
          <w:tcPr>
            <w:tcW w:w="8043" w:type="dxa"/>
            <w:tcBorders>
              <w:top w:val="single" w:color="auto" w:sz="4" w:space="0"/>
              <w:left w:val="single" w:color="auto" w:sz="4" w:space="0"/>
              <w:bottom w:val="single" w:color="auto" w:sz="4" w:space="0"/>
              <w:right w:val="single" w:color="auto" w:sz="4" w:space="0"/>
            </w:tcBorders>
            <w:vAlign w:val="center"/>
          </w:tcPr>
          <w:p w14:paraId="6296F115">
            <w:pPr>
              <w:snapToGrid w:val="0"/>
              <w:rPr>
                <w:rFonts w:ascii="宋体" w:hAnsi="宋体" w:eastAsia="宋体" w:cs="宋体"/>
                <w:color w:val="000000"/>
                <w:kern w:val="0"/>
                <w:sz w:val="18"/>
                <w:szCs w:val="18"/>
              </w:rPr>
            </w:pPr>
            <w:r>
              <w:rPr>
                <w:rFonts w:ascii="宋体" w:hAnsi="宋体" w:eastAsia="宋体" w:cs="宋体"/>
                <w:color w:val="000000"/>
                <w:kern w:val="0"/>
                <w:sz w:val="18"/>
                <w:szCs w:val="18"/>
              </w:rPr>
              <w:t>电动车</w:t>
            </w:r>
            <w:r>
              <w:rPr>
                <w:rFonts w:hint="eastAsia" w:ascii="宋体" w:hAnsi="宋体" w:eastAsia="宋体" w:cs="宋体"/>
                <w:color w:val="000000"/>
                <w:kern w:val="0"/>
                <w:sz w:val="18"/>
                <w:szCs w:val="18"/>
              </w:rPr>
              <w:t>不得</w:t>
            </w:r>
            <w:r>
              <w:rPr>
                <w:rFonts w:ascii="宋体" w:hAnsi="宋体" w:eastAsia="宋体" w:cs="宋体"/>
                <w:color w:val="000000"/>
                <w:kern w:val="0"/>
                <w:sz w:val="18"/>
                <w:szCs w:val="18"/>
              </w:rPr>
              <w:t>停放在建筑门厅</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楼梯间</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共用走道等室内公共区域。电动车集中停放的部位与其他部位直接连通的，必须设置防火分隔设施。电动车</w:t>
            </w:r>
            <w:r>
              <w:rPr>
                <w:rFonts w:hint="eastAsia" w:ascii="宋体" w:hAnsi="宋体" w:eastAsia="宋体" w:cs="宋体"/>
                <w:color w:val="000000"/>
                <w:kern w:val="0"/>
                <w:sz w:val="18"/>
                <w:szCs w:val="18"/>
              </w:rPr>
              <w:t>不得</w:t>
            </w:r>
            <w:r>
              <w:rPr>
                <w:rFonts w:ascii="宋体" w:hAnsi="宋体" w:eastAsia="宋体" w:cs="宋体"/>
                <w:color w:val="000000"/>
                <w:kern w:val="0"/>
                <w:sz w:val="18"/>
                <w:szCs w:val="18"/>
              </w:rPr>
              <w:t>采取“飞线”</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入户等方式违规充电。电动车停放周围</w:t>
            </w:r>
            <w:r>
              <w:rPr>
                <w:rFonts w:hint="eastAsia" w:ascii="宋体" w:hAnsi="宋体" w:eastAsia="宋体" w:cs="宋体"/>
                <w:color w:val="000000"/>
                <w:kern w:val="0"/>
                <w:sz w:val="18"/>
                <w:szCs w:val="18"/>
              </w:rPr>
              <w:t>无</w:t>
            </w:r>
            <w:r>
              <w:rPr>
                <w:rFonts w:ascii="宋体" w:hAnsi="宋体" w:eastAsia="宋体" w:cs="宋体"/>
                <w:color w:val="000000"/>
                <w:kern w:val="0"/>
                <w:sz w:val="18"/>
                <w:szCs w:val="18"/>
              </w:rPr>
              <w:t>易燃可燃物</w:t>
            </w:r>
            <w:r>
              <w:rPr>
                <w:rFonts w:hint="eastAsia" w:ascii="宋体" w:hAnsi="宋体" w:eastAsia="宋体" w:cs="宋体"/>
                <w:color w:val="000000"/>
                <w:kern w:val="0"/>
                <w:sz w:val="18"/>
                <w:szCs w:val="18"/>
              </w:rPr>
              <w:t>品</w:t>
            </w:r>
            <w:r>
              <w:rPr>
                <w:rFonts w:ascii="宋体" w:hAnsi="宋体" w:eastAsia="宋体" w:cs="宋体"/>
                <w:color w:val="000000"/>
                <w:kern w:val="0"/>
                <w:sz w:val="18"/>
                <w:szCs w:val="18"/>
              </w:rPr>
              <w:t>。</w:t>
            </w:r>
          </w:p>
        </w:tc>
        <w:tc>
          <w:tcPr>
            <w:tcW w:w="2305" w:type="dxa"/>
            <w:tcBorders>
              <w:top w:val="single" w:color="auto" w:sz="4" w:space="0"/>
              <w:left w:val="single" w:color="auto" w:sz="4" w:space="0"/>
              <w:bottom w:val="single" w:color="auto" w:sz="4" w:space="0"/>
              <w:right w:val="single" w:color="auto" w:sz="4" w:space="0"/>
            </w:tcBorders>
            <w:vAlign w:val="center"/>
          </w:tcPr>
          <w:p w14:paraId="6506D79F">
            <w:pPr>
              <w:snapToGrid w:val="0"/>
              <w:rPr>
                <w:rFonts w:ascii="宋体" w:hAnsi="宋体" w:cs="方正小标宋_GBK"/>
                <w:sz w:val="18"/>
                <w:szCs w:val="18"/>
              </w:rPr>
            </w:pPr>
            <w:r>
              <w:rPr>
                <w:rFonts w:hint="eastAsia" w:hAnsi="宋体" w:cs="方正小标宋_GBK"/>
                <w:snapToGrid w:val="0"/>
                <w:color w:val="000000"/>
                <w:kern w:val="0"/>
                <w:sz w:val="18"/>
                <w:szCs w:val="18"/>
              </w:rPr>
              <w:t>按标准实地检查。</w:t>
            </w:r>
          </w:p>
        </w:tc>
        <w:tc>
          <w:tcPr>
            <w:tcW w:w="1554" w:type="dxa"/>
            <w:tcBorders>
              <w:top w:val="single" w:color="auto" w:sz="4" w:space="0"/>
              <w:left w:val="single" w:color="auto" w:sz="4" w:space="0"/>
              <w:bottom w:val="single" w:color="auto" w:sz="4" w:space="0"/>
              <w:right w:val="single" w:color="auto" w:sz="4" w:space="0"/>
            </w:tcBorders>
            <w:vAlign w:val="center"/>
          </w:tcPr>
          <w:p w14:paraId="2F53B777">
            <w:pPr>
              <w:snapToGrid w:val="0"/>
              <w:rPr>
                <w:rFonts w:cs="方正小标宋_GBK"/>
                <w:snapToGrid w:val="0"/>
                <w:color w:val="000000"/>
                <w:kern w:val="0"/>
                <w:szCs w:val="21"/>
              </w:rPr>
            </w:pPr>
          </w:p>
        </w:tc>
      </w:tr>
    </w:tbl>
    <w:p w14:paraId="68B4A0D3">
      <w:pPr>
        <w:adjustRightInd w:val="0"/>
        <w:snapToGrid w:val="0"/>
        <w:spacing w:line="579"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检查人：                 检查机构负责人：                         时间：    年   月    日</w:t>
      </w:r>
    </w:p>
    <w:p w14:paraId="32FD838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DY5MzAxNjRmZDM3ZGZjNmZmZGE4MTA4M2M5ZGIifQ=="/>
  </w:docVars>
  <w:rsids>
    <w:rsidRoot w:val="00000000"/>
    <w:rsid w:val="04AB0D4E"/>
    <w:rsid w:val="1B166E7F"/>
    <w:rsid w:val="53B8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4497</Words>
  <Characters>4555</Characters>
  <Lines>0</Lines>
  <Paragraphs>0</Paragraphs>
  <TotalTime>0</TotalTime>
  <ScaleCrop>false</ScaleCrop>
  <LinksUpToDate>false</LinksUpToDate>
  <CharactersWithSpaces>4611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2022-06-01T06:43:00Z</dcterms:created>
  <dc:creator>luxizhe</dc:creator>
  <cp:lastModifiedBy>Administrator</cp:lastModifiedBy>
  <dcterms:modified xsi:type="dcterms:W3CDTF">2024-08-20T09:03:02Z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08F45FA74C234C76925D216B3273DEFB_13</vt:lpwstr>
  </property>
</Properties>
</file>