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重庆市南岸区人力资源和社会保障局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w:t>
      </w:r>
      <w:r>
        <w:rPr>
          <w:rFonts w:hint="default" w:ascii="Times New Roman" w:hAnsi="Times New Roman" w:eastAsia="方正小标宋_GBK" w:cs="Times New Roman"/>
          <w:sz w:val="44"/>
          <w:szCs w:val="44"/>
        </w:rPr>
        <w:t>2023年法治政府建设情况</w:t>
      </w:r>
      <w:r>
        <w:rPr>
          <w:rFonts w:hint="default" w:ascii="Times New Roman" w:hAnsi="Times New Roman" w:eastAsia="方正小标宋_GBK" w:cs="Times New Roman"/>
          <w:sz w:val="44"/>
          <w:szCs w:val="44"/>
          <w:lang w:eastAsia="zh-CN"/>
        </w:rPr>
        <w:t>的报告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Cs w:val="2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szCs w:val="20"/>
        </w:rPr>
        <w:t>2023年，南岸区人力社保局</w:t>
      </w:r>
      <w:r>
        <w:rPr>
          <w:rFonts w:hint="default" w:ascii="Times New Roman" w:hAnsi="Times New Roman" w:eastAsia="方正仿宋_GBK" w:cs="Times New Roman"/>
        </w:rPr>
        <w:t>全面贯彻习近平法治思想，深入落实南岸区委区政府依法治区相关要求</w:t>
      </w:r>
      <w:r>
        <w:rPr>
          <w:rFonts w:hint="default" w:ascii="Times New Roman" w:hAnsi="Times New Roman" w:eastAsia="方正仿宋_GBK" w:cs="Times New Roman"/>
          <w:lang w:eastAsia="zh-CN"/>
        </w:rPr>
        <w:t>及市人力社保局</w:t>
      </w:r>
      <w:r>
        <w:rPr>
          <w:rFonts w:hint="default" w:ascii="Times New Roman" w:hAnsi="Times New Roman" w:eastAsia="方正仿宋_GBK" w:cs="Times New Roman"/>
        </w:rPr>
        <w:t>关于法治人社建设重要部署</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推进南岸区法治人社建设向前发展。现将法治政府建设工作报告如下。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一、2023年推进法治政府建设的主要举措和成效</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default" w:ascii="Times New Roman" w:hAnsi="Times New Roman" w:eastAsia="方正仿宋_GBK" w:cs="Times New Roman"/>
        </w:rPr>
      </w:pPr>
      <w:r>
        <w:rPr>
          <w:rFonts w:hint="default" w:ascii="Times New Roman" w:hAnsi="Times New Roman" w:eastAsia="方正楷体_GBK" w:cs="Times New Roman"/>
        </w:rPr>
        <w:t>（一）深学笃用习近平法治思想，加强党对法治人社建设的领导。</w:t>
      </w:r>
      <w:r>
        <w:rPr>
          <w:rFonts w:hint="default" w:ascii="Times New Roman" w:hAnsi="Times New Roman" w:eastAsia="方正仿宋_GBK" w:cs="Times New Roman"/>
          <w:b/>
          <w:bCs/>
        </w:rPr>
        <w:t>一是</w:t>
      </w:r>
      <w:r>
        <w:rPr>
          <w:rFonts w:hint="default" w:ascii="Times New Roman" w:hAnsi="Times New Roman" w:eastAsia="方正仿宋_GBK" w:cs="Times New Roman"/>
          <w:b w:val="0"/>
          <w:bCs w:val="0"/>
        </w:rPr>
        <w:t>广泛学习，增强法治意识</w:t>
      </w:r>
      <w:r>
        <w:rPr>
          <w:rFonts w:hint="default" w:ascii="Times New Roman" w:hAnsi="Times New Roman" w:eastAsia="方正仿宋_GBK" w:cs="Times New Roman"/>
        </w:rPr>
        <w:t>。坚持党组中心组带头学、中层干部集中学、全体职工坚持学，推动学习习近平法治思想走深走实。通过主题党日活动、南岸人力社保大讲堂等形式，共组织学习《习近平法治思想学习纲要》和党的二十大报告中关于全面依法治国重要论述等10次。</w:t>
      </w:r>
      <w:r>
        <w:rPr>
          <w:rFonts w:hint="default" w:ascii="Times New Roman" w:hAnsi="Times New Roman" w:eastAsia="方正仿宋_GBK" w:cs="Times New Roman"/>
          <w:b/>
          <w:bCs/>
        </w:rPr>
        <w:t>二是</w:t>
      </w:r>
      <w:r>
        <w:rPr>
          <w:rFonts w:hint="default" w:ascii="Times New Roman" w:hAnsi="Times New Roman" w:eastAsia="方正仿宋_GBK" w:cs="Times New Roman"/>
          <w:b w:val="0"/>
          <w:bCs w:val="0"/>
        </w:rPr>
        <w:t>强化领导，明确责任</w:t>
      </w:r>
      <w:r>
        <w:rPr>
          <w:rFonts w:hint="default" w:ascii="Times New Roman" w:hAnsi="Times New Roman" w:eastAsia="方正仿宋_GBK" w:cs="Times New Roman"/>
        </w:rPr>
        <w:t>。主要负责人担任法治工作领导小组组长，亲自研究解决有关重大问题。</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default" w:ascii="Times New Roman" w:hAnsi="Times New Roman" w:eastAsia="方正楷体_GBK" w:cs="Times New Roman"/>
        </w:rPr>
      </w:pPr>
      <w:r>
        <w:rPr>
          <w:rFonts w:hint="default" w:ascii="Times New Roman" w:hAnsi="Times New Roman" w:eastAsia="方正楷体_GBK" w:cs="Times New Roman"/>
        </w:rPr>
        <w:t>（二）健全依法行政制度体系，筑牢法治人社建设基石。</w:t>
      </w:r>
      <w:r>
        <w:rPr>
          <w:rFonts w:hint="default" w:ascii="Times New Roman" w:hAnsi="Times New Roman" w:eastAsia="方正仿宋_GBK" w:cs="Times New Roman"/>
          <w:b/>
          <w:bCs/>
        </w:rPr>
        <w:t>一是</w:t>
      </w:r>
      <w:r>
        <w:rPr>
          <w:rFonts w:hint="default" w:ascii="Times New Roman" w:hAnsi="Times New Roman" w:eastAsia="方正仿宋_GBK" w:cs="Times New Roman"/>
        </w:rPr>
        <w:t>聚合专家“三级联审”。健全“局办公室+局法规科+司法局”三重审查机制，明确局办公室“文审”、局法规科“法审”职责，确保文件合规合法，规范性文件合法性审查率、备案率均为100%。</w:t>
      </w:r>
      <w:r>
        <w:rPr>
          <w:rFonts w:hint="default" w:ascii="Times New Roman" w:hAnsi="Times New Roman" w:eastAsia="方正仿宋_GBK" w:cs="Times New Roman"/>
          <w:b/>
          <w:bCs/>
        </w:rPr>
        <w:t>二是</w:t>
      </w:r>
      <w:r>
        <w:rPr>
          <w:rFonts w:hint="default" w:ascii="Times New Roman" w:hAnsi="Times New Roman" w:eastAsia="方正仿宋_GBK" w:cs="Times New Roman"/>
        </w:rPr>
        <w:t>文件管理动态公布。深化规范性文件清理长效机制，今年以来废止我局制发的规范性文件1件。</w:t>
      </w:r>
      <w:r>
        <w:rPr>
          <w:rFonts w:hint="default" w:ascii="Times New Roman" w:hAnsi="Times New Roman" w:eastAsia="方正仿宋_GBK" w:cs="Times New Roman"/>
          <w:b/>
          <w:bCs/>
        </w:rPr>
        <w:t>三是</w:t>
      </w:r>
      <w:r>
        <w:rPr>
          <w:rFonts w:hint="default" w:ascii="Times New Roman" w:hAnsi="Times New Roman" w:eastAsia="方正仿宋_GBK" w:cs="Times New Roman"/>
        </w:rPr>
        <w:t>重大事项民主决策。严格落实《重庆市重大行政决策程序规定》，强化重大行政决策的合法性审查刚性约束。注重发挥法律顾问、公职律师的法律论证作用。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（三）深化“放管服”改革，优化法治化营商环境。</w:t>
      </w:r>
      <w:r>
        <w:rPr>
          <w:rFonts w:hint="default" w:ascii="Times New Roman" w:hAnsi="Times New Roman" w:eastAsia="方正仿宋_GBK" w:cs="Times New Roman"/>
          <w:b/>
          <w:bCs w:val="0"/>
        </w:rPr>
        <w:t>一是</w:t>
      </w:r>
      <w:r>
        <w:rPr>
          <w:rFonts w:hint="default" w:ascii="Times New Roman" w:hAnsi="Times New Roman" w:eastAsia="方正仿宋_GBK" w:cs="Times New Roman"/>
        </w:rPr>
        <w:t>推行一窗办结服务。公共就业服务全口径业务实现清单化一窗受理办结，实现公共就业服务“码上办事”“云上就业”。通过社保业务流程再造，以综合柜员制为主线对经办业务进行全面梳理，进一步优化经办流程，明确业务规范，实现专岗办理向“一窗综办”转变。</w:t>
      </w:r>
      <w:r>
        <w:rPr>
          <w:rFonts w:hint="default" w:ascii="Times New Roman" w:hAnsi="Times New Roman" w:eastAsia="方正仿宋_GBK" w:cs="Times New Roman"/>
          <w:b/>
        </w:rPr>
        <w:t>二是</w:t>
      </w:r>
      <w:r>
        <w:rPr>
          <w:rFonts w:hint="default" w:ascii="Times New Roman" w:hAnsi="Times New Roman" w:eastAsia="方正仿宋_GBK" w:cs="Times New Roman"/>
          <w:b w:val="0"/>
          <w:bCs/>
        </w:rPr>
        <w:t>推行错时延时服务</w:t>
      </w:r>
      <w:r>
        <w:rPr>
          <w:rFonts w:hint="default" w:ascii="Times New Roman" w:hAnsi="Times New Roman" w:eastAsia="方正仿宋_GBK" w:cs="Times New Roman"/>
          <w:b/>
        </w:rPr>
        <w:t>。</w:t>
      </w:r>
      <w:r>
        <w:rPr>
          <w:rFonts w:hint="default" w:ascii="Times New Roman" w:hAnsi="Times New Roman" w:eastAsia="方正仿宋_GBK" w:cs="Times New Roman"/>
        </w:rPr>
        <w:t>社保经办主动提供中午不打烊服务“延时办”。创新开展区级公共就业服务经办业务标准化信息化工作，为辖区企业群众提供24小时“不打烊”就业服务。</w:t>
      </w:r>
      <w:r>
        <w:rPr>
          <w:rFonts w:hint="default" w:ascii="Times New Roman" w:hAnsi="Times New Roman" w:eastAsia="方正仿宋_GBK" w:cs="Times New Roman"/>
          <w:b/>
        </w:rPr>
        <w:t>三是</w:t>
      </w:r>
      <w:r>
        <w:rPr>
          <w:rFonts w:hint="default" w:ascii="Times New Roman" w:hAnsi="Times New Roman" w:eastAsia="方正仿宋_GBK" w:cs="Times New Roman"/>
          <w:b w:val="0"/>
          <w:bCs/>
        </w:rPr>
        <w:t>推行线上服务。</w:t>
      </w:r>
      <w:r>
        <w:rPr>
          <w:rFonts w:hint="default" w:ascii="Times New Roman" w:hAnsi="Times New Roman" w:eastAsia="方正仿宋_GBK" w:cs="Times New Roman"/>
        </w:rPr>
        <w:t>大力推动员工录用、退休审批等“一件事一次办”，打造“渝快办”升级版。率先在“重庆人社”APP增加在线预约取号功能“预约办”。</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default" w:ascii="Times New Roman" w:hAnsi="Times New Roman" w:eastAsia="方正仿宋_GBK" w:cs="Times New Roman"/>
        </w:rPr>
      </w:pPr>
      <w:r>
        <w:rPr>
          <w:rFonts w:hint="default" w:ascii="Times New Roman" w:hAnsi="Times New Roman" w:eastAsia="方正楷体_GBK" w:cs="Times New Roman"/>
        </w:rPr>
        <w:t>（四）健全执法方式，推进严格规范公正文明执法。</w:t>
      </w:r>
      <w:r>
        <w:rPr>
          <w:rFonts w:hint="default" w:ascii="Times New Roman" w:hAnsi="Times New Roman" w:eastAsia="方正仿宋_GBK" w:cs="Times New Roman"/>
          <w:b/>
          <w:bCs/>
        </w:rPr>
        <w:t>一是</w:t>
      </w:r>
      <w:r>
        <w:rPr>
          <w:rFonts w:hint="default" w:ascii="Times New Roman" w:hAnsi="Times New Roman" w:eastAsia="方正仿宋_GBK" w:cs="Times New Roman"/>
          <w:szCs w:val="40"/>
        </w:rPr>
        <w:t>严格落实行政执法“三项制度”。完善劳动监察平台执法信息公示，根据人员的调入调出，及时更新执法人员公示信息；定期抽查劳动监察执法记录仪，检查执法过程是否依法进行。抽查劳动监察执法案卷2份、行政许可案卷18份、工伤认定案卷35份，确保执法全过程依法进行；加强法制审核，审核《劳动监察限期整改指令》9份。</w:t>
      </w:r>
      <w:r>
        <w:rPr>
          <w:rFonts w:hint="default" w:ascii="Times New Roman" w:hAnsi="Times New Roman" w:eastAsia="方正仿宋_GBK" w:cs="Times New Roman"/>
          <w:b/>
          <w:bCs/>
        </w:rPr>
        <w:t>二是</w:t>
      </w:r>
      <w:r>
        <w:rPr>
          <w:rFonts w:hint="default" w:ascii="Times New Roman" w:hAnsi="Times New Roman" w:eastAsia="方正仿宋_GBK" w:cs="Times New Roman"/>
        </w:rPr>
        <w:t>加强拖欠农民工工资专项执法</w:t>
      </w:r>
      <w:r>
        <w:rPr>
          <w:rFonts w:hint="eastAsia" w:eastAsia="方正仿宋_GBK" w:cs="Times New Roman"/>
          <w:lang w:eastAsia="zh-CN"/>
        </w:rPr>
        <w:t>。</w:t>
      </w:r>
      <w:r>
        <w:rPr>
          <w:rFonts w:hint="default" w:ascii="Times New Roman" w:hAnsi="Times New Roman" w:eastAsia="方正仿宋_GBK" w:cs="Times New Roman"/>
        </w:rPr>
        <w:t>代表重庆迎接国务院关于农民工工资支付工作督查，考核结果为重庆市第一。健全行政执法与司法衔接机制，推进落实《南岸区根治欠薪行政司法合作事项》。</w:t>
      </w:r>
      <w:r>
        <w:rPr>
          <w:rFonts w:hint="default" w:ascii="Times New Roman" w:hAnsi="Times New Roman" w:eastAsia="方正仿宋_GBK" w:cs="Times New Roman"/>
          <w:b/>
          <w:bCs/>
        </w:rPr>
        <w:t>三是</w:t>
      </w:r>
      <w:r>
        <w:rPr>
          <w:rFonts w:hint="default" w:ascii="Times New Roman" w:hAnsi="Times New Roman" w:eastAsia="方正仿宋_GBK" w:cs="Times New Roman"/>
        </w:rPr>
        <w:t>强化社保基金管理</w:t>
      </w:r>
      <w:r>
        <w:rPr>
          <w:rFonts w:hint="eastAsia" w:eastAsia="方正仿宋_GBK" w:cs="Times New Roman"/>
          <w:lang w:eastAsia="zh-CN"/>
        </w:rPr>
        <w:t>。</w:t>
      </w:r>
      <w:r>
        <w:rPr>
          <w:rFonts w:hint="default" w:ascii="Times New Roman" w:hAnsi="Times New Roman" w:eastAsia="方正仿宋_GBK" w:cs="Times New Roman"/>
        </w:rPr>
        <w:t>制定社保基金风险防控“十项机制”，依法处理死亡冒领社保待遇和服刑人员违规领取社保待遇等违法行为。今年以来，处理社保基金举报案件3件。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default" w:ascii="Times New Roman" w:hAnsi="Times New Roman" w:eastAsia="方正仿宋_GBK" w:cs="Times New Roman"/>
        </w:rPr>
      </w:pPr>
      <w:r>
        <w:rPr>
          <w:rFonts w:hint="default" w:ascii="Times New Roman" w:hAnsi="Times New Roman" w:eastAsia="方正楷体_GBK" w:cs="Times New Roman"/>
        </w:rPr>
        <w:t>（五）强化监督制约，提升依法行政质效。</w:t>
      </w:r>
      <w:r>
        <w:rPr>
          <w:rFonts w:hint="default" w:ascii="Times New Roman" w:hAnsi="Times New Roman" w:eastAsia="方正仿宋_GBK" w:cs="Times New Roman"/>
          <w:b/>
        </w:rPr>
        <w:t>一是</w:t>
      </w:r>
      <w:r>
        <w:rPr>
          <w:rFonts w:hint="default" w:ascii="Times New Roman" w:hAnsi="Times New Roman" w:eastAsia="方正仿宋_GBK" w:cs="Times New Roman"/>
        </w:rPr>
        <w:t>推进政务公开。全面贯彻落实《政府信息公开条例》，依托区政府网站，法定主动公开全部公开到位，信息公开申请答复率为100%。</w:t>
      </w:r>
      <w:r>
        <w:rPr>
          <w:rFonts w:hint="default" w:ascii="Times New Roman" w:hAnsi="Times New Roman" w:eastAsia="方正仿宋_GBK" w:cs="Times New Roman"/>
          <w:b/>
        </w:rPr>
        <w:t>二是</w:t>
      </w:r>
      <w:r>
        <w:rPr>
          <w:rFonts w:hint="default" w:ascii="Times New Roman" w:hAnsi="Times New Roman" w:eastAsia="方正仿宋_GBK" w:cs="Times New Roman"/>
        </w:rPr>
        <w:t>强化内部监督。加强廉政风险点排查，建立廉政风险点台账，对排查出的风险点逐一制定防控整改措施。</w:t>
      </w:r>
      <w:r>
        <w:rPr>
          <w:rFonts w:hint="default" w:ascii="Times New Roman" w:hAnsi="Times New Roman" w:eastAsia="方正仿宋_GBK" w:cs="Times New Roman"/>
          <w:b/>
        </w:rPr>
        <w:t>三是</w:t>
      </w:r>
      <w:r>
        <w:rPr>
          <w:rFonts w:hint="default" w:ascii="Times New Roman" w:hAnsi="Times New Roman" w:eastAsia="方正仿宋_GBK" w:cs="Times New Roman"/>
        </w:rPr>
        <w:t>完善应诉机制。实行法制机构牵头协调、业务科室具体负责、法律顾问参与的应诉机制，落实机关负责人出庭应诉和工作人员庭审旁听制度，行政负责人出庭应诉率达100%。</w:t>
      </w:r>
      <w:r>
        <w:rPr>
          <w:rFonts w:hint="default" w:ascii="Times New Roman" w:hAnsi="Times New Roman" w:eastAsia="方正仿宋_GBK" w:cs="Times New Roman"/>
          <w:b/>
          <w:bCs/>
        </w:rPr>
        <w:t>四是</w:t>
      </w:r>
      <w:r>
        <w:rPr>
          <w:rFonts w:hint="default" w:ascii="Times New Roman" w:hAnsi="Times New Roman" w:eastAsia="方正仿宋_GBK" w:cs="Times New Roman"/>
        </w:rPr>
        <w:t>拓宽监督渠道。及时回复司法建议1件，办理人大、政协提案18件，配合开展审计4次。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default" w:ascii="Times New Roman" w:hAnsi="Times New Roman" w:eastAsia="方正仿宋_GBK" w:cs="Times New Roman"/>
        </w:rPr>
      </w:pPr>
      <w:r>
        <w:rPr>
          <w:rFonts w:hint="default" w:ascii="Times New Roman" w:hAnsi="Times New Roman" w:eastAsia="方正楷体_GBK" w:cs="Times New Roman"/>
        </w:rPr>
        <w:t>（六）创新治理模式，妥善化解矛盾纠纷</w:t>
      </w:r>
      <w:r>
        <w:rPr>
          <w:rFonts w:hint="default" w:ascii="Times New Roman" w:hAnsi="Times New Roman" w:eastAsia="方正仿宋_GBK" w:cs="Times New Roman"/>
        </w:rPr>
        <w:t>。依法妥善处理行政争议。今年以来，涉及我局的一审和二审行政诉讼案件</w:t>
      </w:r>
      <w:r>
        <w:rPr>
          <w:rFonts w:hint="eastAsia" w:eastAsia="方正仿宋_GBK" w:cs="Times New Roman"/>
          <w:lang w:val="en-US" w:eastAsia="zh-CN"/>
        </w:rPr>
        <w:t>148</w:t>
      </w:r>
      <w:r>
        <w:rPr>
          <w:rFonts w:hint="default" w:ascii="Times New Roman" w:hAnsi="Times New Roman" w:eastAsia="方正仿宋_GBK" w:cs="Times New Roman"/>
        </w:rPr>
        <w:t>件，行政复议案件</w:t>
      </w:r>
      <w:r>
        <w:rPr>
          <w:rFonts w:hint="eastAsia" w:eastAsia="方正仿宋_GBK" w:cs="Times New Roman"/>
          <w:lang w:val="en-US" w:eastAsia="zh-CN"/>
        </w:rPr>
        <w:t>17</w:t>
      </w:r>
      <w:r>
        <w:rPr>
          <w:rFonts w:hint="default" w:ascii="Times New Roman" w:hAnsi="Times New Roman" w:eastAsia="方正仿宋_GBK" w:cs="Times New Roman"/>
        </w:rPr>
        <w:t>件。健全劳动纠纷一站式联处建设，与区法院签署《合作备忘录》，该经验被市人力社保局在全市推广，并多次接待兄弟区县和河南省中牟县人社局参观调研。今年以来，联处中心化解劳动争议586件，案件处理平均时长为6.5天，维权时长缩短了90%，减轻劳动者维权负担，降低企业处置纠纷的成本，真正实现了“案结事了人和”，对维护劳动关系和谐与社会稳定发挥了积极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楷体_GBK" w:cs="Times New Roman"/>
        </w:rPr>
        <w:t>（七）广泛开展普法宣传，提高人力社保惠企政策知晓度。</w:t>
      </w:r>
      <w:r>
        <w:rPr>
          <w:rFonts w:hint="default" w:ascii="Times New Roman" w:hAnsi="Times New Roman" w:eastAsia="方正仿宋_GBK" w:cs="Times New Roman"/>
        </w:rPr>
        <w:t>开展“助企纾困·人社在行动”政策宣讲调研活动，主要采取“一对一”“二对一”“一对多”三种宣传调研方式：</w:t>
      </w:r>
      <w:r>
        <w:rPr>
          <w:rFonts w:hint="default" w:ascii="Times New Roman" w:hAnsi="Times New Roman" w:eastAsia="方正仿宋_GBK" w:cs="Times New Roman"/>
          <w:b/>
        </w:rPr>
        <w:t>一是</w:t>
      </w:r>
      <w:r>
        <w:rPr>
          <w:rFonts w:hint="default" w:ascii="Times New Roman" w:hAnsi="Times New Roman" w:eastAsia="方正仿宋_GBK" w:cs="Times New Roman"/>
          <w:b w:val="0"/>
          <w:bCs/>
        </w:rPr>
        <w:t>“一对一”即：领导带队，惠企政策上门办</w:t>
      </w:r>
      <w:r>
        <w:rPr>
          <w:rFonts w:hint="default" w:ascii="Times New Roman" w:hAnsi="Times New Roman" w:eastAsia="方正仿宋_GBK" w:cs="Times New Roman"/>
          <w:b/>
        </w:rPr>
        <w:t>。</w:t>
      </w:r>
      <w:r>
        <w:rPr>
          <w:rFonts w:hint="default" w:ascii="Times New Roman" w:hAnsi="Times New Roman" w:eastAsia="方正仿宋_GBK" w:cs="Times New Roman"/>
        </w:rPr>
        <w:t>由区人力社保局领导、社保中心、就业中心负责人分别带队，组成9个宣讲团，提前收集企业当前困难和急需政策，在活动期内深入企业现场办公、答疑解惑，提供“一对一”服务。今年9月以来，局主要领导带领分管领导和科室长深入重庆软件园等企业开展走访调研10次，深入调研企业实际发展经营困难问题。局分管领导带领科长走进重庆金菱车世界有限公司等10余家企业开展“助企纾困·人社在行动”政策宣讲调研活动17次，对企业提出的疑难问题进行了现场答疑解惑。</w:t>
      </w:r>
      <w:r>
        <w:rPr>
          <w:rFonts w:hint="default" w:ascii="Times New Roman" w:hAnsi="Times New Roman" w:eastAsia="方正仿宋_GBK" w:cs="Times New Roman"/>
          <w:b/>
        </w:rPr>
        <w:t>二是</w:t>
      </w:r>
      <w:r>
        <w:rPr>
          <w:rFonts w:hint="default" w:ascii="Times New Roman" w:hAnsi="Times New Roman" w:eastAsia="方正仿宋_GBK" w:cs="Times New Roman"/>
          <w:b w:val="0"/>
          <w:bCs/>
        </w:rPr>
        <w:t>“二对一”即：部门联动，惠企政策现场办</w:t>
      </w:r>
      <w:r>
        <w:rPr>
          <w:rFonts w:hint="default" w:ascii="Times New Roman" w:hAnsi="Times New Roman" w:eastAsia="方正仿宋_GBK" w:cs="Times New Roman"/>
        </w:rPr>
        <w:t>。联合区经信委、区科技局、区商务委、区住房和城乡建委、区工商联组织宣讲活动。另外，联合辖区街镇开展“助企纾困·人社在行动”政策宣讲调研</w:t>
      </w:r>
      <w:bookmarkStart w:id="0" w:name="_GoBack"/>
      <w:bookmarkEnd w:id="0"/>
      <w:r>
        <w:rPr>
          <w:rFonts w:hint="default" w:ascii="Times New Roman" w:hAnsi="Times New Roman" w:eastAsia="方正仿宋_GBK" w:cs="Times New Roman"/>
        </w:rPr>
        <w:t>活动9场，详细解读惠企政策，赠送“人社政策服务包”。开展社会保险“三进三送”活动11场，现场为群众答疑解惑。</w:t>
      </w:r>
      <w:r>
        <w:rPr>
          <w:rFonts w:hint="default" w:ascii="Times New Roman" w:hAnsi="Times New Roman" w:eastAsia="方正仿宋_GBK" w:cs="Times New Roman"/>
          <w:b/>
        </w:rPr>
        <w:t>三是</w:t>
      </w:r>
      <w:r>
        <w:rPr>
          <w:rFonts w:hint="default" w:ascii="Times New Roman" w:hAnsi="Times New Roman" w:eastAsia="方正仿宋_GBK" w:cs="Times New Roman"/>
          <w:b w:val="0"/>
          <w:bCs/>
        </w:rPr>
        <w:t>“一对多”即：集中发布，惠企政策线上办。</w:t>
      </w:r>
      <w:r>
        <w:rPr>
          <w:rFonts w:hint="default" w:ascii="Times New Roman" w:hAnsi="Times New Roman" w:eastAsia="方正仿宋_GBK" w:cs="Times New Roman"/>
        </w:rPr>
        <w:t>充分利用南岸融媒体、</w:t>
      </w:r>
      <w:r>
        <w:rPr>
          <w:rFonts w:hint="default" w:ascii="Times New Roman" w:hAnsi="Times New Roman" w:eastAsia="方正仿宋_GBK" w:cs="Times New Roman"/>
          <w:color w:val="000000"/>
        </w:rPr>
        <w:t>南岸人力社保微信公众号等平台，集中发布重庆市人力社保政策服务包，全面扩大政策普及范围。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二、2023年党政主要负责人履行推进法治建设第一责任人职责，加强法治政府建设的有关情况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严格履行党政主要负责人带头履行推进法治人社建设第一责任人职责，亲自部署法治人社示范创建工作。自觉维护司法权威，认真落实行政负责人出庭应诉制度，带头应诉出庭，尊重并执行法院判决，及时答复司法建议。带头深入企业开展调研，组织</w:t>
      </w:r>
      <w:r>
        <w:rPr>
          <w:rFonts w:hint="default" w:ascii="Times New Roman" w:hAnsi="Times New Roman" w:eastAsia="方正仿宋_GBK" w:cs="Times New Roman"/>
          <w:lang w:eastAsia="zh-CN"/>
        </w:rPr>
        <w:t>开展</w:t>
      </w:r>
      <w:r>
        <w:rPr>
          <w:rFonts w:hint="default" w:ascii="Times New Roman" w:hAnsi="Times New Roman" w:eastAsia="方正仿宋_GBK" w:cs="Times New Roman"/>
        </w:rPr>
        <w:t>人力社保惠企政策宣讲。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三、202</w:t>
      </w:r>
      <w:r>
        <w:rPr>
          <w:rFonts w:hint="default" w:ascii="Times New Roman" w:hAnsi="Times New Roman" w:eastAsia="方正黑体_GBK" w:cs="Times New Roman"/>
          <w:lang w:val="en-US" w:eastAsia="zh-CN"/>
        </w:rPr>
        <w:t>3</w:t>
      </w:r>
      <w:r>
        <w:rPr>
          <w:rFonts w:hint="default" w:ascii="Times New Roman" w:hAnsi="Times New Roman" w:eastAsia="方正黑体_GBK" w:cs="Times New Roman"/>
        </w:rPr>
        <w:t>年推进法治政府建设存在的不足和原因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rPr>
      </w:pPr>
      <w:r>
        <w:rPr>
          <w:rFonts w:hint="default" w:ascii="Times New Roman" w:hAnsi="Times New Roman" w:eastAsia="方正仿宋_GBK" w:cs="Times New Roman"/>
        </w:rPr>
        <w:t>通过努力，我们在法治人社建设中取得了一定成效，但也存在不足，主要体现在：</w:t>
      </w:r>
      <w:r>
        <w:rPr>
          <w:rFonts w:hint="default" w:ascii="Times New Roman" w:hAnsi="Times New Roman" w:eastAsia="方正仿宋_GBK" w:cs="Times New Roman"/>
          <w:b/>
          <w:bCs/>
        </w:rPr>
        <w:t>一是</w:t>
      </w:r>
      <w:r>
        <w:rPr>
          <w:rFonts w:hint="default" w:ascii="Times New Roman" w:hAnsi="Times New Roman" w:eastAsia="方正仿宋_GBK" w:cs="Times New Roman"/>
        </w:rPr>
        <w:t>劳动纠纷案件数量大幅攀升，劳动纠纷的调处压力和难度不断加大；</w:t>
      </w:r>
      <w:r>
        <w:rPr>
          <w:rFonts w:hint="default" w:ascii="Times New Roman" w:hAnsi="Times New Roman" w:eastAsia="方正仿宋_GBK" w:cs="Times New Roman"/>
          <w:b/>
          <w:bCs/>
        </w:rPr>
        <w:t>二是</w:t>
      </w:r>
      <w:r>
        <w:rPr>
          <w:rFonts w:hint="default" w:ascii="Times New Roman" w:hAnsi="Times New Roman" w:eastAsia="方正仿宋_GBK" w:cs="Times New Roman"/>
          <w:color w:val="000000" w:themeColor="text1"/>
        </w:rPr>
        <w:t>在社保基金监管过程中存在联动机制不完善的问题，社保经办内部科室之间的联动以及多部门联合力度有待加强。另外，在</w:t>
      </w:r>
      <w:r>
        <w:rPr>
          <w:rFonts w:hint="default" w:ascii="Times New Roman" w:hAnsi="Times New Roman" w:eastAsia="方正仿宋_GBK" w:cs="Times New Roman"/>
          <w:color w:val="000000" w:themeColor="text1"/>
          <w:lang w:eastAsia="zh-CN"/>
        </w:rPr>
        <w:t>社会</w:t>
      </w:r>
      <w:r>
        <w:rPr>
          <w:rFonts w:hint="default" w:ascii="Times New Roman" w:hAnsi="Times New Roman" w:eastAsia="方正仿宋_GBK" w:cs="Times New Roman"/>
          <w:color w:val="000000" w:themeColor="text1"/>
        </w:rPr>
        <w:t>保险骗保案件的办理过程中，行政相对人不配合，行政执法调查取证手段有限，导致案件办理进度缓慢。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四、2024年推进法治政府建设的工作思路目标举措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2024年，我们将充分发挥法治引领、保障、监督作用，推进南岸法治人社建设不断向前进。</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default" w:ascii="Times New Roman" w:hAnsi="Times New Roman" w:eastAsia="方正仿宋_GBK" w:cs="Times New Roman"/>
        </w:rPr>
      </w:pPr>
      <w:r>
        <w:rPr>
          <w:rFonts w:hint="default" w:ascii="Times New Roman" w:hAnsi="Times New Roman" w:eastAsia="方正楷体_GBK" w:cs="Times New Roman"/>
          <w:bCs/>
        </w:rPr>
        <w:t>（一）抓法治体系建设。</w:t>
      </w:r>
      <w:r>
        <w:rPr>
          <w:rFonts w:hint="default" w:ascii="Times New Roman" w:hAnsi="Times New Roman" w:eastAsia="方正仿宋_GBK" w:cs="Times New Roman"/>
        </w:rPr>
        <w:t>增强依法决策意识，注重发挥法律顾问、公职律师作用，听取专家意见，确保决策符合法律法规和国家政策的规定。</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default" w:ascii="Times New Roman" w:hAnsi="Times New Roman" w:eastAsia="方正仿宋_GBK" w:cs="Times New Roman"/>
        </w:rPr>
      </w:pPr>
      <w:r>
        <w:rPr>
          <w:rFonts w:hint="default" w:ascii="Times New Roman" w:hAnsi="Times New Roman" w:eastAsia="方正楷体_GBK" w:cs="Times New Roman"/>
          <w:bCs/>
        </w:rPr>
        <w:t>（二）抓执法体制改革。</w:t>
      </w:r>
      <w:r>
        <w:rPr>
          <w:rFonts w:hint="default" w:ascii="Times New Roman" w:hAnsi="Times New Roman" w:eastAsia="方正仿宋_GBK" w:cs="Times New Roman"/>
        </w:rPr>
        <w:t>完善新就业形态劳动者权益保障，深化跨领域跨部门执法联动机制，在拒不支付劳动报酬、骗取社会保险基金等领域，依法推进行政执法与刑事司法信息共享，加强案件移送工作。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default" w:ascii="Times New Roman" w:hAnsi="Times New Roman" w:eastAsia="方正仿宋_GBK" w:cs="Times New Roman"/>
          <w:color w:val="000000"/>
        </w:rPr>
      </w:pPr>
      <w:r>
        <w:rPr>
          <w:rFonts w:hint="default" w:ascii="Times New Roman" w:hAnsi="Times New Roman" w:eastAsia="方正楷体_GBK" w:cs="Times New Roman"/>
          <w:bCs/>
        </w:rPr>
        <w:t>（三）抓纠纷源头治理。</w:t>
      </w:r>
      <w:r>
        <w:rPr>
          <w:rFonts w:hint="default" w:ascii="Times New Roman" w:hAnsi="Times New Roman" w:eastAsia="方正仿宋_GBK" w:cs="Times New Roman"/>
        </w:rPr>
        <w:t>充分发挥协商调解化解纠纷的柔性作用，加强调解队伍建设，强化部</w:t>
      </w:r>
      <w:r>
        <w:rPr>
          <w:rFonts w:hint="default" w:ascii="Times New Roman" w:hAnsi="Times New Roman" w:eastAsia="方正仿宋_GBK" w:cs="Times New Roman"/>
          <w:color w:val="000000"/>
        </w:rPr>
        <w:t>门联动，深化 “南岸区劳动纠纷一站式联处中心”建设。</w:t>
      </w:r>
    </w:p>
    <w:p>
      <w:pPr>
        <w:keepNext w:val="0"/>
        <w:keepLines w:val="0"/>
        <w:pageBreakBefore w:val="0"/>
        <w:widowControl w:val="0"/>
        <w:kinsoku/>
        <w:wordWrap/>
        <w:overflowPunct/>
        <w:topLinePunct w:val="0"/>
        <w:autoSpaceDE/>
        <w:autoSpaceDN/>
        <w:bidi w:val="0"/>
        <w:adjustRightInd/>
        <w:snapToGrid/>
        <w:spacing w:line="600" w:lineRule="exact"/>
        <w:ind w:right="-301" w:rightChars="-94" w:firstLine="480" w:firstLineChars="150"/>
        <w:textAlignment w:val="auto"/>
        <w:rPr>
          <w:rFonts w:hint="default" w:ascii="Times New Roman" w:hAnsi="Times New Roman" w:eastAsia="方正仿宋_GBK" w:cs="Times New Roman"/>
          <w:bCs/>
        </w:rPr>
      </w:pPr>
      <w:r>
        <w:rPr>
          <w:rFonts w:hint="default" w:ascii="Times New Roman" w:hAnsi="Times New Roman" w:eastAsia="方正楷体_GBK" w:cs="Times New Roman"/>
          <w:bCs/>
        </w:rPr>
        <w:t>（四）抓监督体系建设。</w:t>
      </w:r>
      <w:r>
        <w:rPr>
          <w:rFonts w:hint="default" w:ascii="Times New Roman" w:hAnsi="Times New Roman" w:eastAsia="方正仿宋_GBK" w:cs="Times New Roman"/>
          <w:color w:val="000000"/>
        </w:rPr>
        <w:t>强化执法监督，定期开展行政执法案卷评查，严格规范行政执法行为；重视人大监督，办好每一件人大议案、建议和政协提案；支持</w:t>
      </w:r>
      <w:r>
        <w:rPr>
          <w:rFonts w:hint="default" w:ascii="Times New Roman" w:hAnsi="Times New Roman" w:eastAsia="方正仿宋_GBK" w:cs="Times New Roman"/>
        </w:rPr>
        <w:t>司法监督，认真做好司法建议、检察建议落实和反馈工作。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default" w:ascii="Times New Roman" w:hAnsi="Times New Roman" w:eastAsia="方正仿宋_GBK" w:cs="Times New Roman"/>
        </w:rPr>
      </w:pPr>
      <w:r>
        <w:rPr>
          <w:rFonts w:hint="default" w:ascii="Times New Roman" w:hAnsi="Times New Roman" w:eastAsia="方正楷体_GBK" w:cs="Times New Roman"/>
        </w:rPr>
        <w:t>（五）抓普法责任落实。</w:t>
      </w:r>
      <w:r>
        <w:rPr>
          <w:rFonts w:hint="default" w:ascii="Times New Roman" w:hAnsi="Times New Roman" w:eastAsia="方正仿宋_GBK" w:cs="Times New Roman"/>
        </w:rPr>
        <w:t>持续开展“助企纾困·人社在行动”政策宣讲调研活动，优化营商环境；利用“南岸区人力社保”微信公众号开展以案说法，全面普及人力社保法规政策。</w:t>
      </w:r>
    </w:p>
    <w:p>
      <w:pPr>
        <w:keepNext w:val="0"/>
        <w:keepLines w:val="0"/>
        <w:pageBreakBefore w:val="0"/>
        <w:widowControl w:val="0"/>
        <w:kinsoku/>
        <w:wordWrap/>
        <w:overflowPunct/>
        <w:topLinePunct w:val="0"/>
        <w:autoSpaceDE/>
        <w:autoSpaceDN/>
        <w:bidi w:val="0"/>
        <w:adjustRightInd/>
        <w:snapToGrid/>
        <w:spacing w:line="600" w:lineRule="exact"/>
        <w:ind w:right="-86" w:rightChars="-27" w:firstLine="480" w:firstLineChars="150"/>
        <w:textAlignment w:val="auto"/>
        <w:rPr>
          <w:rFonts w:hint="default" w:ascii="Times New Roman" w:hAnsi="Times New Roman" w:eastAsia="方正仿宋_GBK" w:cs="Times New Roman"/>
        </w:rPr>
      </w:pPr>
      <w:r>
        <w:rPr>
          <w:rFonts w:hint="default" w:ascii="Times New Roman" w:hAnsi="Times New Roman" w:eastAsia="方正楷体_GBK" w:cs="Times New Roman"/>
        </w:rPr>
        <w:t>（六）抓法治素养建设。</w:t>
      </w:r>
      <w:r>
        <w:rPr>
          <w:rFonts w:hint="default" w:ascii="Times New Roman" w:hAnsi="Times New Roman" w:eastAsia="方正仿宋_GBK" w:cs="Times New Roman"/>
        </w:rPr>
        <w:t>加强法治培训，提升行政执法人员能力；健全沟通交流机制，进一步完善人社部门和法院的联席会议制度，定期开展重点案件研讨，促进人社部门与法院在人力社保法律法规政策的理解上达成共识。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Cs/>
          <w:lang w:eastAsia="zh-CN"/>
        </w:rPr>
      </w:pPr>
      <w:r>
        <w:rPr>
          <w:rFonts w:hint="default" w:ascii="Times New Roman" w:hAnsi="Times New Roman" w:eastAsia="方正黑体_GBK" w:cs="Times New Roman"/>
          <w:bCs/>
        </w:rPr>
        <w:t>五、</w:t>
      </w:r>
      <w:r>
        <w:rPr>
          <w:rFonts w:hint="default" w:ascii="Times New Roman" w:hAnsi="Times New Roman" w:eastAsia="方正黑体_GBK" w:cs="Times New Roman"/>
          <w:bCs/>
          <w:lang w:eastAsia="zh-CN"/>
        </w:rPr>
        <w:t>其他需要报告的情况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无</w:t>
      </w:r>
    </w:p>
    <w:p>
      <w:pPr>
        <w:keepNext w:val="0"/>
        <w:keepLines w:val="0"/>
        <w:pageBreakBefore w:val="0"/>
        <w:widowControl w:val="0"/>
        <w:kinsoku/>
        <w:wordWrap/>
        <w:overflowPunct/>
        <w:topLinePunct w:val="0"/>
        <w:autoSpaceDE/>
        <w:autoSpaceDN/>
        <w:bidi w:val="0"/>
        <w:adjustRightInd/>
        <w:snapToGrid/>
        <w:spacing w:line="600" w:lineRule="exact"/>
        <w:ind w:firstLine="3040" w:firstLineChars="95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3360" w:firstLineChars="1050"/>
        <w:textAlignment w:val="auto"/>
        <w:rPr>
          <w:rFonts w:hint="default" w:ascii="Times New Roman" w:hAnsi="Times New Roman" w:eastAsia="方正仿宋_GBK" w:cs="Times New Roman"/>
        </w:rPr>
      </w:pPr>
      <w:r>
        <w:rPr>
          <w:rFonts w:hint="default" w:ascii="Times New Roman" w:hAnsi="Times New Roman" w:eastAsia="方正仿宋_GBK" w:cs="Times New Roman"/>
        </w:rPr>
        <w:t>重庆市南岸区人力资源和社会保障局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rPr>
      </w:pPr>
      <w:r>
        <w:rPr>
          <w:rFonts w:hint="default" w:ascii="Times New Roman" w:hAnsi="Times New Roman" w:eastAsia="方正黑体_GBK" w:cs="Times New Roman"/>
        </w:rPr>
        <w:t xml:space="preserve">                            202</w:t>
      </w:r>
      <w:r>
        <w:rPr>
          <w:rFonts w:hint="default" w:ascii="Times New Roman" w:hAnsi="Times New Roman" w:eastAsia="方正黑体_GBK" w:cs="Times New Roman"/>
          <w:lang w:val="en-US" w:eastAsia="zh-CN"/>
        </w:rPr>
        <w:t>4</w:t>
      </w:r>
      <w:r>
        <w:rPr>
          <w:rFonts w:hint="default" w:ascii="Times New Roman" w:hAnsi="Times New Roman" w:eastAsia="方正仿宋_GBK" w:cs="Times New Roman"/>
        </w:rPr>
        <w:t>年</w:t>
      </w:r>
      <w:r>
        <w:rPr>
          <w:rFonts w:hint="default" w:ascii="Times New Roman" w:hAnsi="Times New Roman" w:eastAsia="方正仿宋_GBK" w:cs="Times New Roman"/>
          <w:lang w:val="en-US" w:eastAsia="zh-CN"/>
        </w:rPr>
        <w:t>3</w:t>
      </w:r>
      <w:r>
        <w:rPr>
          <w:rFonts w:hint="default" w:ascii="Times New Roman" w:hAnsi="Times New Roman" w:eastAsia="方正仿宋_GBK" w:cs="Times New Roman"/>
        </w:rPr>
        <w:t>月</w:t>
      </w:r>
      <w:r>
        <w:rPr>
          <w:rFonts w:hint="default" w:ascii="Times New Roman" w:hAnsi="Times New Roman" w:eastAsia="方正仿宋_GBK" w:cs="Times New Roman"/>
          <w:lang w:val="en-US" w:eastAsia="zh-CN"/>
        </w:rPr>
        <w:t>6</w:t>
      </w:r>
      <w:r>
        <w:rPr>
          <w:rFonts w:hint="default" w:ascii="Times New Roman" w:hAnsi="Times New Roman" w:eastAsia="方正仿宋_GBK" w:cs="Times New Roman"/>
        </w:rPr>
        <w:t>日</w:t>
      </w:r>
    </w:p>
    <w:sectPr>
      <w:footerReference r:id="rId3" w:type="default"/>
      <w:footerReference r:id="rId4" w:type="even"/>
      <w:pgSz w:w="11906" w:h="16838"/>
      <w:pgMar w:top="1984" w:right="1446" w:bottom="1644" w:left="1446" w:header="851" w:footer="992" w:gutter="0"/>
      <w:pgNumType w:fmt="numberInDash"/>
      <w:cols w:space="425" w:num="1"/>
      <w:docGrid w:type="lines" w:linePitch="4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仿宋_GB2312" w:eastAsia="仿宋_GB2312"/>
        <w:sz w:val="28"/>
        <w:szCs w:val="28"/>
      </w:rPr>
    </w:pPr>
    <w:sdt>
      <w:sdtPr>
        <w:id w:val="-551230842"/>
        <w:docPartObj>
          <w:docPartGallery w:val="autotext"/>
        </w:docPartObj>
      </w:sdtPr>
      <w:sdtEndPr>
        <w:rPr>
          <w:rFonts w:hint="eastAsia" w:ascii="仿宋_GB2312" w:eastAsia="仿宋_GB2312"/>
          <w:sz w:val="28"/>
          <w:szCs w:val="28"/>
        </w:rPr>
      </w:sdtEndPr>
      <w:sdtContent>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5 -</w:t>
        </w:r>
        <w:r>
          <w:rPr>
            <w:rFonts w:hint="eastAsia" w:ascii="仿宋_GB2312" w:eastAsia="仿宋_GB2312"/>
            <w:sz w:val="28"/>
            <w:szCs w:val="28"/>
          </w:rPr>
          <w:fldChar w:fldCharType="end"/>
        </w:r>
      </w:sdtContent>
    </w:sdt>
    <w:r>
      <w:rPr>
        <w:rFonts w:hint="eastAsia" w:ascii="仿宋_GB2312" w:eastAsia="仿宋_GB231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7325067"/>
      <w:docPartObj>
        <w:docPartGallery w:val="autotext"/>
      </w:docPartObj>
    </w:sdtPr>
    <w:sdtEndPr>
      <w:rPr>
        <w:rFonts w:hint="eastAsia" w:ascii="仿宋_GB2312" w:eastAsia="仿宋_GB2312"/>
        <w:sz w:val="28"/>
        <w:szCs w:val="28"/>
      </w:rPr>
    </w:sdtEndPr>
    <w:sdtContent>
      <w:p>
        <w:pPr>
          <w:pStyle w:val="3"/>
          <w:ind w:firstLine="90" w:firstLineChars="50"/>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6 -</w:t>
        </w:r>
        <w:r>
          <w:rPr>
            <w:rFonts w:hint="eastAsia" w:ascii="仿宋_GB2312" w:eastAsia="仿宋_GB2312"/>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evenAndOddHeaders w:val="1"/>
  <w:drawingGridHorizontalSpacing w:val="313"/>
  <w:drawingGridVerticalSpacing w:val="42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MDhkZDc5ZjllOWQzMmI1ZTA4MDY5MWE5NjQwM2YifQ=="/>
    <w:docVar w:name="KSO_WPS_MARK_KEY" w:val="9bd19af3-1513-41e5-9232-1817e645e0a8"/>
  </w:docVars>
  <w:rsids>
    <w:rsidRoot w:val="0038687F"/>
    <w:rsid w:val="000168E7"/>
    <w:rsid w:val="00034FB3"/>
    <w:rsid w:val="000912FC"/>
    <w:rsid w:val="000C2136"/>
    <w:rsid w:val="000E0EA3"/>
    <w:rsid w:val="00116E50"/>
    <w:rsid w:val="00126CCB"/>
    <w:rsid w:val="00161010"/>
    <w:rsid w:val="001A2482"/>
    <w:rsid w:val="001C2FBD"/>
    <w:rsid w:val="001C75F5"/>
    <w:rsid w:val="002436A0"/>
    <w:rsid w:val="00264D86"/>
    <w:rsid w:val="002B11AC"/>
    <w:rsid w:val="002C2EE1"/>
    <w:rsid w:val="002E5F2C"/>
    <w:rsid w:val="002E6B44"/>
    <w:rsid w:val="00341044"/>
    <w:rsid w:val="0038687F"/>
    <w:rsid w:val="0039007E"/>
    <w:rsid w:val="003A2EF6"/>
    <w:rsid w:val="003C286F"/>
    <w:rsid w:val="00400ECD"/>
    <w:rsid w:val="004E6574"/>
    <w:rsid w:val="0050394F"/>
    <w:rsid w:val="0052017F"/>
    <w:rsid w:val="00547753"/>
    <w:rsid w:val="00552554"/>
    <w:rsid w:val="00571C35"/>
    <w:rsid w:val="00610EFB"/>
    <w:rsid w:val="00614130"/>
    <w:rsid w:val="006A59F8"/>
    <w:rsid w:val="00760CA9"/>
    <w:rsid w:val="007D21B4"/>
    <w:rsid w:val="007D38A9"/>
    <w:rsid w:val="007F03EB"/>
    <w:rsid w:val="007F7738"/>
    <w:rsid w:val="00822A80"/>
    <w:rsid w:val="00845112"/>
    <w:rsid w:val="009D10B6"/>
    <w:rsid w:val="009D4B2C"/>
    <w:rsid w:val="00A02C36"/>
    <w:rsid w:val="00A10EA4"/>
    <w:rsid w:val="00A5434A"/>
    <w:rsid w:val="00A812DB"/>
    <w:rsid w:val="00AA3A32"/>
    <w:rsid w:val="00AC44F6"/>
    <w:rsid w:val="00AD6461"/>
    <w:rsid w:val="00AF66CD"/>
    <w:rsid w:val="00C152EB"/>
    <w:rsid w:val="00C75008"/>
    <w:rsid w:val="00C86F5D"/>
    <w:rsid w:val="00C91E39"/>
    <w:rsid w:val="00D46EF3"/>
    <w:rsid w:val="00EC1F8A"/>
    <w:rsid w:val="00ED3388"/>
    <w:rsid w:val="00EE25DA"/>
    <w:rsid w:val="00EE4BE2"/>
    <w:rsid w:val="00F64289"/>
    <w:rsid w:val="00FD4587"/>
    <w:rsid w:val="00FF3C29"/>
    <w:rsid w:val="0D3B4E89"/>
    <w:rsid w:val="1C470F14"/>
    <w:rsid w:val="1DBF1743"/>
    <w:rsid w:val="28DD72B3"/>
    <w:rsid w:val="2F733E64"/>
    <w:rsid w:val="38F20F70"/>
    <w:rsid w:val="42B673D4"/>
    <w:rsid w:val="5288688A"/>
    <w:rsid w:val="544F115F"/>
    <w:rsid w:val="5B010EF0"/>
    <w:rsid w:val="5D4F5E27"/>
    <w:rsid w:val="707B2A6D"/>
    <w:rsid w:val="773F28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CQ</Company>
  <Pages>6</Pages>
  <Words>1653</Words>
  <Characters>1670</Characters>
  <Lines>72</Lines>
  <Paragraphs>27</Paragraphs>
  <TotalTime>0</TotalTime>
  <ScaleCrop>false</ScaleCrop>
  <LinksUpToDate>false</LinksUpToDate>
  <CharactersWithSpaces>3296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2022-11-24T11:29:00Z</dcterms:created>
  <dc:creator>User</dc:creator>
  <cp:lastModifiedBy>sc</cp:lastModifiedBy>
  <cp:lastPrinted>2024-03-07T01:39:00Z</cp:lastPrinted>
  <dcterms:modified xsi:type="dcterms:W3CDTF">2024-03-15T02:02:00Z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44992CB01E1443F29B8F92DFAFA9D4B0_13</vt:lpwstr>
  </property>
</Properties>
</file>