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ascii="Times New Roman" w:hAnsi="Times New Roman" w:eastAsia="方正小标宋_GBK" w:cs="Times New Roman"/>
          <w:b w:val="0"/>
          <w:color w:val="000000"/>
          <w:sz w:val="44"/>
          <w:szCs w:val="44"/>
        </w:rPr>
      </w:pPr>
      <w:r>
        <w:rPr>
          <w:rStyle w:val="10"/>
          <w:rFonts w:ascii="Times New Roman" w:hAnsi="Times New Roman" w:eastAsia="方正小标宋_GBK" w:cs="Times New Roman"/>
          <w:b w:val="0"/>
          <w:color w:val="000000"/>
          <w:sz w:val="44"/>
          <w:szCs w:val="44"/>
        </w:rPr>
        <w:t>重庆市统计局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Style w:val="10"/>
          <w:rFonts w:ascii="Times New Roman" w:hAnsi="Times New Roman" w:eastAsia="方正小标宋_GBK" w:cs="Times New Roman"/>
          <w:b w:val="0"/>
          <w:color w:val="000000"/>
          <w:sz w:val="44"/>
          <w:szCs w:val="44"/>
        </w:rPr>
        <w:t>重庆市企业统计信用管理办法</w:t>
      </w: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spacing w:line="600" w:lineRule="exact"/>
        <w:jc w:val="center"/>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sz w:val="32"/>
          <w:szCs w:val="32"/>
        </w:rPr>
        <w:t>渝统发〔2023〕14号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00" w:lineRule="exact"/>
        <w:rPr>
          <w:rFonts w:eastAsia="方正仿宋_GBK"/>
          <w:kern w:val="0"/>
          <w:sz w:val="32"/>
          <w:szCs w:val="32"/>
        </w:rPr>
      </w:pPr>
      <w:r>
        <w:rPr>
          <w:rFonts w:eastAsia="方正仿宋_GBK"/>
          <w:kern w:val="0"/>
          <w:sz w:val="32"/>
          <w:szCs w:val="32"/>
        </w:rPr>
        <w:t>各区县（自治县）统计局，两江新区经济运行局、万盛经开区统计局、高新区改革发展局、经开区改革发展和科技局，局机关各处室、局属各单位，各有关单位：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eastAsia="方正仿宋_GBK"/>
          <w:kern w:val="0"/>
          <w:sz w:val="32"/>
          <w:szCs w:val="32"/>
        </w:rPr>
      </w:pPr>
      <w:r>
        <w:rPr>
          <w:rFonts w:eastAsia="方正仿宋_GBK"/>
          <w:kern w:val="0"/>
          <w:sz w:val="32"/>
          <w:szCs w:val="32"/>
        </w:rPr>
        <w:t>《重庆市企业统计信用管理办法》已经重庆市统计局2023年第</w:t>
      </w:r>
      <w:r>
        <w:rPr>
          <w:rFonts w:eastAsia="方正仿宋_GBK"/>
          <w:kern w:val="0"/>
          <w:sz w:val="32"/>
          <w:szCs w:val="32"/>
          <w:lang w:val="en"/>
        </w:rPr>
        <w:t>4</w:t>
      </w:r>
      <w:r>
        <w:rPr>
          <w:rFonts w:eastAsia="方正仿宋_GBK"/>
          <w:kern w:val="0"/>
          <w:sz w:val="32"/>
          <w:szCs w:val="32"/>
        </w:rPr>
        <w:t>次局党组会审议通过，现印发给你们，认真贯彻执行。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eastAsia="方正仿宋_GBK"/>
          <w:color w:val="000000"/>
          <w:sz w:val="32"/>
          <w:szCs w:val="32"/>
        </w:rPr>
        <w:t>重庆市统计局</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2023年2月9日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ascii="Calibri" w:hAnsi="Calibri" w:eastAsia="方正小标宋_GBK" w:cs="宋体"/>
          <w:sz w:val="44"/>
          <w:szCs w:val="44"/>
        </w:rPr>
        <w:t>重庆市企业统计信用管理办法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hd w:val="clear" w:color="auto" w:fill="FFFFFF"/>
        <w:spacing w:line="600" w:lineRule="exact"/>
        <w:jc w:val="center"/>
        <w:rPr>
          <w:rFonts w:ascii="黑体" w:hAnsi="黑体" w:eastAsia="黑体" w:cs="黑体"/>
          <w:color w:val="000000"/>
          <w:kern w:val="0"/>
          <w:sz w:val="32"/>
          <w:szCs w:val="32"/>
        </w:rPr>
      </w:pPr>
      <w:r>
        <w:rPr>
          <w:rFonts w:hint="eastAsia" w:ascii="方正黑体_GBK" w:eastAsia="方正黑体_GBK"/>
          <w:color w:val="000000"/>
          <w:kern w:val="0"/>
          <w:sz w:val="32"/>
          <w:szCs w:val="32"/>
        </w:rPr>
        <w:t>第一章　总 则</w:t>
      </w:r>
    </w:p>
    <w:p>
      <w:pPr>
        <w:spacing w:line="600" w:lineRule="exact"/>
        <w:ind w:firstLine="420" w:firstLineChars="200"/>
      </w:pPr>
    </w:p>
    <w:p>
      <w:pPr>
        <w:spacing w:line="600" w:lineRule="exact"/>
        <w:ind w:firstLine="640" w:firstLineChars="200"/>
        <w:rPr>
          <w:rFonts w:eastAsia="方正仿宋_GBK"/>
          <w:sz w:val="32"/>
          <w:szCs w:val="32"/>
        </w:rPr>
      </w:pPr>
      <w:r>
        <w:rPr>
          <w:rFonts w:hint="eastAsia" w:ascii="方正黑体_GBK" w:eastAsia="方正黑体_GBK"/>
          <w:color w:val="000000"/>
          <w:kern w:val="0"/>
          <w:sz w:val="32"/>
          <w:szCs w:val="32"/>
        </w:rPr>
        <w:t>第一条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kern w:val="0"/>
          <w:sz w:val="32"/>
          <w:szCs w:val="32"/>
        </w:rPr>
        <w:t>为推进统计领域信用建设，规范企业统计信用管理，按照党中央、国务院关于推进诚信建设、完善失信约束决策部署，根据《中华人民共和国统计法》《中华人民共和国行政处罚法》《中华人民共和国统计法实施条例》《统计严重失信企业信用管理办法》《重庆市社会信用条例》《重庆市统计管理条例》，结合工作实际，制定本办法。</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第二条</w:t>
      </w:r>
      <w:r>
        <w:rPr>
          <w:rFonts w:hint="eastAsia" w:ascii="方正仿宋_GBK" w:hAnsi="方正仿宋_GBK" w:eastAsia="方正仿宋_GBK" w:cs="方正仿宋_GBK"/>
          <w:color w:val="000000"/>
          <w:kern w:val="0"/>
          <w:sz w:val="32"/>
          <w:szCs w:val="32"/>
        </w:rPr>
        <w:t>　本办法适用于本市行政区域内，统计机构对企业信用信息的归集、认定、共享、公开、惩戒和信用修复等活动。</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本办法所称统计机构，是指重庆市统计局及各区县（自治县）人民政府统计机构。</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本办法所称企业，是指承担法定的政府统计资料报送义务的企业。</w:t>
      </w:r>
    </w:p>
    <w:p>
      <w:pPr>
        <w:shd w:val="clear" w:color="FFFFFF" w:fill="FFFFFF"/>
        <w:spacing w:line="600" w:lineRule="exact"/>
        <w:ind w:firstLine="640"/>
        <w:rPr>
          <w:rFonts w:eastAsia="方正仿宋_GBK"/>
          <w:sz w:val="32"/>
          <w:szCs w:val="32"/>
        </w:rPr>
      </w:pPr>
      <w:r>
        <w:rPr>
          <w:rFonts w:ascii="方正黑体_GBK" w:eastAsia="方正黑体_GBK"/>
          <w:color w:val="000000"/>
          <w:kern w:val="0"/>
          <w:sz w:val="32"/>
          <w:szCs w:val="32"/>
        </w:rPr>
        <w:t>第三条</w:t>
      </w:r>
      <w:r>
        <w:rPr>
          <w:rFonts w:hint="eastAsia" w:ascii="方正仿宋_GBK" w:hAnsi="方正仿宋_GBK" w:eastAsia="方正仿宋_GBK" w:cs="方正仿宋_GBK"/>
          <w:color w:val="000000"/>
          <w:kern w:val="0"/>
          <w:sz w:val="32"/>
          <w:szCs w:val="32"/>
        </w:rPr>
        <w:t>　企业统计信用管理坚持“谁认定、谁管理、谁负责”的原则，按照依法依规、保护权益、审慎适度的总体思路组织实</w:t>
      </w:r>
      <w:r>
        <w:rPr>
          <w:rFonts w:eastAsia="方正仿宋_GBK"/>
          <w:color w:val="000000"/>
          <w:kern w:val="0"/>
          <w:sz w:val="32"/>
          <w:szCs w:val="32"/>
        </w:rPr>
        <w:t>施。</w:t>
      </w:r>
    </w:p>
    <w:p>
      <w:pPr>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第四条</w:t>
      </w:r>
      <w:r>
        <w:rPr>
          <w:rFonts w:hint="eastAsia" w:ascii="方正仿宋_GBK" w:hAnsi="方正仿宋_GBK" w:eastAsia="方正仿宋_GBK" w:cs="方正仿宋_GBK"/>
          <w:color w:val="000000"/>
          <w:kern w:val="0"/>
          <w:sz w:val="32"/>
          <w:szCs w:val="32"/>
        </w:rPr>
        <w:t>　重庆市统计局负责统一组织、规范、监督和指导全市企业统计信用管理工作。</w:t>
      </w:r>
    </w:p>
    <w:p>
      <w:pPr>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区县（自治县）人民政府统计机构按照本办法以及重庆市统计局的部署，负责本行政区域内企业统计信用管理工作。</w:t>
      </w:r>
    </w:p>
    <w:p>
      <w:pPr>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重庆市及各区县（自治县）人民政府有关部门对其组织实施的统计调查活动中发现的统计失信行为线索，应当移送同级人民政府统计机构依法处理。</w:t>
      </w:r>
    </w:p>
    <w:p>
      <w:pPr>
        <w:pStyle w:val="4"/>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第二章　信用分级评价和结果运用</w:t>
      </w:r>
    </w:p>
    <w:p>
      <w:pPr>
        <w:shd w:val="clear" w:color="FFFFFF" w:fill="FFFFFF"/>
        <w:spacing w:line="600" w:lineRule="exact"/>
        <w:ind w:firstLine="640" w:firstLineChars="200"/>
        <w:rPr>
          <w:rFonts w:eastAsia="方正仿宋_GBK"/>
          <w:color w:val="000000"/>
          <w:kern w:val="0"/>
          <w:sz w:val="32"/>
          <w:szCs w:val="32"/>
        </w:rPr>
      </w:pPr>
    </w:p>
    <w:p>
      <w:pPr>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第五条</w:t>
      </w:r>
      <w:r>
        <w:rPr>
          <w:rFonts w:hint="eastAsia" w:ascii="方正仿宋_GBK" w:hAnsi="方正仿宋_GBK" w:eastAsia="方正仿宋_GBK" w:cs="方正仿宋_GBK"/>
          <w:color w:val="000000"/>
          <w:kern w:val="0"/>
          <w:sz w:val="32"/>
          <w:szCs w:val="32"/>
        </w:rPr>
        <w:t>　企业统计信用评价等级分为统计诚信企业</w:t>
      </w:r>
      <w:r>
        <w:rPr>
          <w:rFonts w:hint="eastAsia" w:ascii="方正仿宋_GBK" w:hAnsi="方正仿宋_GBK" w:eastAsia="方正仿宋_GBK" w:cs="方正仿宋_GBK"/>
          <w:sz w:val="32"/>
          <w:szCs w:val="32"/>
        </w:rPr>
        <w:t>（A级）</w:t>
      </w:r>
      <w:r>
        <w:rPr>
          <w:rFonts w:hint="eastAsia" w:ascii="方正仿宋_GBK" w:hAnsi="方正仿宋_GBK" w:eastAsia="方正仿宋_GBK" w:cs="方正仿宋_GBK"/>
          <w:color w:val="000000"/>
          <w:kern w:val="0"/>
          <w:sz w:val="32"/>
          <w:szCs w:val="32"/>
        </w:rPr>
        <w:t>、统计信用异常企业</w:t>
      </w:r>
      <w:r>
        <w:rPr>
          <w:rFonts w:hint="eastAsia" w:ascii="方正仿宋_GBK" w:hAnsi="方正仿宋_GBK" w:eastAsia="方正仿宋_GBK" w:cs="方正仿宋_GBK"/>
          <w:sz w:val="32"/>
          <w:szCs w:val="32"/>
        </w:rPr>
        <w:t>（B级）</w:t>
      </w:r>
      <w:r>
        <w:rPr>
          <w:rFonts w:hint="eastAsia" w:ascii="方正仿宋_GBK" w:hAnsi="方正仿宋_GBK" w:eastAsia="方正仿宋_GBK" w:cs="方正仿宋_GBK"/>
          <w:color w:val="000000"/>
          <w:kern w:val="0"/>
          <w:sz w:val="32"/>
          <w:szCs w:val="32"/>
        </w:rPr>
        <w:t>、统计一般失信企业</w:t>
      </w:r>
      <w:r>
        <w:rPr>
          <w:rFonts w:hint="eastAsia" w:ascii="方正仿宋_GBK" w:hAnsi="方正仿宋_GBK" w:eastAsia="方正仿宋_GBK" w:cs="方正仿宋_GBK"/>
          <w:sz w:val="32"/>
          <w:szCs w:val="32"/>
        </w:rPr>
        <w:t>（C级）</w:t>
      </w:r>
      <w:r>
        <w:rPr>
          <w:rFonts w:hint="eastAsia" w:ascii="方正仿宋_GBK" w:hAnsi="方正仿宋_GBK" w:eastAsia="方正仿宋_GBK" w:cs="方正仿宋_GBK"/>
          <w:color w:val="000000"/>
          <w:kern w:val="0"/>
          <w:sz w:val="32"/>
          <w:szCs w:val="32"/>
        </w:rPr>
        <w:t>和统计严重失信企业</w:t>
      </w:r>
      <w:r>
        <w:rPr>
          <w:rFonts w:hint="eastAsia" w:ascii="方正仿宋_GBK" w:hAnsi="方正仿宋_GBK" w:eastAsia="方正仿宋_GBK" w:cs="方正仿宋_GBK"/>
          <w:sz w:val="32"/>
          <w:szCs w:val="32"/>
        </w:rPr>
        <w:t>（D级）</w:t>
      </w:r>
      <w:r>
        <w:rPr>
          <w:rFonts w:hint="eastAsia" w:ascii="方正仿宋_GBK" w:hAnsi="方正仿宋_GBK" w:eastAsia="方正仿宋_GBK" w:cs="方正仿宋_GBK"/>
          <w:color w:val="000000"/>
          <w:kern w:val="0"/>
          <w:sz w:val="32"/>
          <w:szCs w:val="32"/>
        </w:rPr>
        <w:t>，实施分级分类和动态管理。</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第六条</w:t>
      </w:r>
      <w:r>
        <w:rPr>
          <w:rFonts w:hint="eastAsia" w:ascii="方正仿宋_GBK" w:hAnsi="方正仿宋_GBK" w:eastAsia="方正仿宋_GBK" w:cs="方正仿宋_GBK"/>
          <w:color w:val="000000"/>
          <w:kern w:val="0"/>
          <w:sz w:val="32"/>
          <w:szCs w:val="32"/>
        </w:rPr>
        <w:t xml:space="preserve">  企业同时具备下列条件，可以认定为统计诚信企业：</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（一）为履行法定的统计资料报送义务提供组织、人员和工作条件保障；</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（二）按照国家有关规定设置原始记录、统计台账，建立健全统计资料的审核、签署、交接、归档等管理制度；</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（三）严格执行统计调查制度，真实、准确、完整、及时地提供统计调查所需资料；</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（四）积极配合统计执法检查、统计数据核查和统计数据查询；</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（五）连续两年未被其他部门列入联合惩戒失信名单；</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（六）连续两年未发生任何违反统计法律法规和统计调查制度的行为。</w:t>
      </w:r>
    </w:p>
    <w:p>
      <w:pPr>
        <w:shd w:val="clear" w:color="FFFFFF" w:fill="FFFFFF"/>
        <w:spacing w:line="600" w:lineRule="exact"/>
        <w:ind w:firstLine="640" w:firstLineChars="200"/>
        <w:jc w:val="left"/>
        <w:rPr>
          <w:rFonts w:eastAsia="方正仿宋_GBK"/>
          <w:sz w:val="32"/>
          <w:szCs w:val="32"/>
        </w:rPr>
      </w:pPr>
      <w:r>
        <w:rPr>
          <w:rFonts w:ascii="方正黑体_GBK" w:eastAsia="方正黑体_GBK"/>
          <w:color w:val="000000"/>
          <w:kern w:val="0"/>
          <w:sz w:val="32"/>
          <w:szCs w:val="32"/>
        </w:rPr>
        <w:t>第七条</w:t>
      </w:r>
      <w:r>
        <w:rPr>
          <w:rFonts w:eastAsia="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 xml:space="preserve"> 企业有下列情形之一，可以认定为统计信用异常企业：</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（一）未按照法定的统计资料报送义务提供组织、人员和工作条件保障；</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（二）未按照国家有关规定设置原始记录、统计台账，未建立健全统计资料的审核、签署、交接、归档等管理制度；</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（三）一年内迟报统计资料一次；</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（四）统计资料报送异常且不能做出合理解释；</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（五）通过登记的住所或者经营场所无法联系。</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第八条</w:t>
      </w:r>
      <w:r>
        <w:rPr>
          <w:rFonts w:hint="eastAsia" w:ascii="方正仿宋_GBK" w:hAnsi="方正仿宋_GBK" w:eastAsia="方正仿宋_GBK" w:cs="方正仿宋_GBK"/>
          <w:color w:val="000000"/>
          <w:kern w:val="0"/>
          <w:sz w:val="32"/>
          <w:szCs w:val="32"/>
        </w:rPr>
        <w:t xml:space="preserve">  企业有下列情形之一，可以认定为统计一般失信企业：</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（一）提供不真实或者不完整的统计资料的；</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（二）拒绝、阻碍统计调查、统计检查；</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（三）一年内迟报统计资料两次及以上；</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（四）被统计机构行政处罚后，未及时按照《企业信息公示暂行条例》自行公示；</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ascii="方正黑体_GBK" w:eastAsia="方正黑体_GBK"/>
          <w:color w:val="000000"/>
          <w:kern w:val="0"/>
          <w:sz w:val="32"/>
          <w:szCs w:val="32"/>
        </w:rPr>
        <w:t>第九条</w:t>
      </w:r>
      <w:r>
        <w:rPr>
          <w:rFonts w:hint="eastAsia" w:ascii="方正仿宋_GBK" w:hAnsi="方正仿宋_GBK" w:eastAsia="方正仿宋_GBK" w:cs="方正仿宋_GBK"/>
          <w:color w:val="000000"/>
          <w:kern w:val="0"/>
          <w:sz w:val="32"/>
          <w:szCs w:val="32"/>
        </w:rPr>
        <w:t>　企业有下列统计违法行为之一，且属于《中华人民共和国统计法实施条例》第五十条所列情节严重的，统计机构应当认定其为统计严重失信企业。</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（一）拒绝提供统计资料或者经催报后仍未按时提供统计资料的；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（二）提供不真实或者不完整的统计资料的；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（三）拒绝答复或者不如实答复统计检查查询书的；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（四）拒绝、阻碍统计调查、统计检查的；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（五）转移、隐匿、篡改、毁弃或者拒绝提供原始记录和凭证、统计台账、统计调查表及其他相关证明和资料的；</w:t>
      </w:r>
    </w:p>
    <w:p>
      <w:pPr>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（六）其他统计严重失信行为。</w:t>
      </w:r>
    </w:p>
    <w:p>
      <w:pPr>
        <w:shd w:val="clear" w:color="FFFFFF" w:fill="FFFFFF"/>
        <w:spacing w:line="600" w:lineRule="exact"/>
        <w:ind w:firstLine="660"/>
        <w:rPr>
          <w:rFonts w:hint="eastAsia" w:ascii="方正仿宋_GBK" w:hAnsi="方正仿宋_GBK" w:eastAsia="方正仿宋_GBK" w:cs="方正仿宋_GBK"/>
          <w:sz w:val="32"/>
          <w:szCs w:val="32"/>
          <w:lang w:val="en"/>
        </w:rPr>
      </w:pPr>
      <w:r>
        <w:rPr>
          <w:rFonts w:ascii="方正黑体_GBK" w:eastAsia="方正黑体_GBK"/>
          <w:color w:val="000000"/>
          <w:kern w:val="0"/>
          <w:sz w:val="32"/>
          <w:szCs w:val="32"/>
        </w:rPr>
        <w:t>第十条</w:t>
      </w:r>
      <w:r>
        <w:rPr>
          <w:rFonts w:hint="eastAsia" w:ascii="方正仿宋_GBK" w:hAnsi="方正仿宋_GBK" w:eastAsia="方正仿宋_GBK" w:cs="方正仿宋_GBK"/>
          <w:kern w:val="0"/>
          <w:sz w:val="32"/>
          <w:szCs w:val="32"/>
        </w:rPr>
        <w:t>　</w:t>
      </w:r>
      <w:r>
        <w:rPr>
          <w:rFonts w:hint="eastAsia" w:ascii="方正仿宋_GBK" w:hAnsi="方正仿宋_GBK" w:eastAsia="方正仿宋_GBK" w:cs="方正仿宋_GBK"/>
          <w:spacing w:val="-6"/>
          <w:kern w:val="0"/>
          <w:sz w:val="32"/>
          <w:szCs w:val="32"/>
        </w:rPr>
        <w:t>统计机构</w:t>
      </w:r>
      <w:r>
        <w:rPr>
          <w:rFonts w:hint="eastAsia" w:ascii="方正仿宋_GBK" w:hAnsi="方正仿宋_GBK" w:eastAsia="方正仿宋_GBK" w:cs="方正仿宋_GBK"/>
          <w:spacing w:val="-6"/>
          <w:kern w:val="0"/>
          <w:sz w:val="32"/>
          <w:szCs w:val="32"/>
          <w:lang w:val="en"/>
        </w:rPr>
        <w:t>对符合评价等级为</w:t>
      </w:r>
      <w:r>
        <w:rPr>
          <w:rFonts w:hint="eastAsia" w:ascii="方正仿宋_GBK" w:hAnsi="方正仿宋_GBK" w:eastAsia="方正仿宋_GBK" w:cs="方正仿宋_GBK"/>
          <w:color w:val="000000"/>
          <w:kern w:val="0"/>
          <w:sz w:val="32"/>
          <w:szCs w:val="32"/>
        </w:rPr>
        <w:t>统计诚信企业</w:t>
      </w:r>
      <w:r>
        <w:rPr>
          <w:rFonts w:hint="eastAsia" w:ascii="方正仿宋_GBK" w:hAnsi="方正仿宋_GBK" w:eastAsia="方正仿宋_GBK" w:cs="方正仿宋_GBK"/>
          <w:sz w:val="32"/>
          <w:szCs w:val="32"/>
        </w:rPr>
        <w:t>（A级）</w:t>
      </w:r>
      <w:r>
        <w:rPr>
          <w:rFonts w:hint="eastAsia" w:ascii="方正仿宋_GBK" w:hAnsi="方正仿宋_GBK" w:eastAsia="方正仿宋_GBK" w:cs="方正仿宋_GBK"/>
          <w:color w:val="000000"/>
          <w:kern w:val="0"/>
          <w:sz w:val="32"/>
          <w:szCs w:val="32"/>
        </w:rPr>
        <w:t>、统计信用异常企业</w:t>
      </w:r>
      <w:r>
        <w:rPr>
          <w:rFonts w:hint="eastAsia" w:ascii="方正仿宋_GBK" w:hAnsi="方正仿宋_GBK" w:eastAsia="方正仿宋_GBK" w:cs="方正仿宋_GBK"/>
          <w:sz w:val="32"/>
          <w:szCs w:val="32"/>
        </w:rPr>
        <w:t>（B级）</w:t>
      </w:r>
      <w:r>
        <w:rPr>
          <w:rFonts w:hint="eastAsia" w:ascii="方正仿宋_GBK" w:hAnsi="方正仿宋_GBK" w:eastAsia="方正仿宋_GBK" w:cs="方正仿宋_GBK"/>
          <w:color w:val="000000"/>
          <w:kern w:val="0"/>
          <w:sz w:val="32"/>
          <w:szCs w:val="32"/>
        </w:rPr>
        <w:t>和统计一般失信企业</w:t>
      </w:r>
      <w:r>
        <w:rPr>
          <w:rFonts w:hint="eastAsia" w:ascii="方正仿宋_GBK" w:hAnsi="方正仿宋_GBK" w:eastAsia="方正仿宋_GBK" w:cs="方正仿宋_GBK"/>
          <w:sz w:val="32"/>
          <w:szCs w:val="32"/>
        </w:rPr>
        <w:t>（C级）</w:t>
      </w:r>
      <w:r>
        <w:rPr>
          <w:rFonts w:hint="eastAsia" w:ascii="方正仿宋_GBK" w:hAnsi="方正仿宋_GBK" w:eastAsia="方正仿宋_GBK" w:cs="方正仿宋_GBK"/>
          <w:spacing w:val="-6"/>
          <w:kern w:val="0"/>
          <w:sz w:val="32"/>
          <w:szCs w:val="32"/>
          <w:lang w:val="en"/>
        </w:rPr>
        <w:t>，</w:t>
      </w:r>
      <w:r>
        <w:rPr>
          <w:rFonts w:hint="eastAsia" w:ascii="方正仿宋_GBK" w:hAnsi="方正仿宋_GBK" w:eastAsia="方正仿宋_GBK" w:cs="方正仿宋_GBK"/>
          <w:spacing w:val="-6"/>
          <w:kern w:val="0"/>
          <w:sz w:val="32"/>
          <w:szCs w:val="32"/>
        </w:rPr>
        <w:t>应当在该</w:t>
      </w:r>
      <w:r>
        <w:rPr>
          <w:rFonts w:hint="eastAsia" w:ascii="方正仿宋_GBK" w:hAnsi="方正仿宋_GBK" w:eastAsia="方正仿宋_GBK" w:cs="方正仿宋_GBK"/>
          <w:spacing w:val="-6"/>
          <w:kern w:val="0"/>
          <w:sz w:val="32"/>
          <w:szCs w:val="32"/>
          <w:lang w:val="en"/>
        </w:rPr>
        <w:t>企业评价等级认定做出后或者</w:t>
      </w:r>
      <w:r>
        <w:rPr>
          <w:rFonts w:hint="eastAsia" w:ascii="方正仿宋_GBK" w:hAnsi="方正仿宋_GBK" w:eastAsia="方正仿宋_GBK" w:cs="方正仿宋_GBK"/>
          <w:spacing w:val="-6"/>
          <w:kern w:val="0"/>
          <w:sz w:val="32"/>
          <w:szCs w:val="32"/>
        </w:rPr>
        <w:t>行政处罚决定生效后５个工作日内制作</w:t>
      </w:r>
      <w:r>
        <w:rPr>
          <w:rFonts w:hint="eastAsia" w:ascii="方正仿宋_GBK" w:hAnsi="方正仿宋_GBK" w:eastAsia="方正仿宋_GBK" w:cs="方正仿宋_GBK"/>
          <w:sz w:val="32"/>
          <w:szCs w:val="32"/>
        </w:rPr>
        <w:t>企业统计信用认定通知书</w:t>
      </w:r>
      <w:r>
        <w:rPr>
          <w:rFonts w:hint="eastAsia" w:ascii="方正仿宋_GBK" w:hAnsi="方正仿宋_GBK" w:eastAsia="方正仿宋_GBK" w:cs="方正仿宋_GBK"/>
          <w:sz w:val="32"/>
          <w:szCs w:val="32"/>
          <w:lang w:val="en"/>
        </w:rPr>
        <w:t>。</w:t>
      </w:r>
    </w:p>
    <w:p>
      <w:pPr>
        <w:shd w:val="clear" w:color="FFFFFF" w:fill="FFFFFF"/>
        <w:spacing w:line="600" w:lineRule="exact"/>
        <w:ind w:firstLine="660"/>
        <w:rPr>
          <w:rFonts w:eastAsia="方正仿宋_GBK"/>
          <w:sz w:val="32"/>
          <w:szCs w:val="32"/>
        </w:rPr>
      </w:pPr>
      <w:r>
        <w:rPr>
          <w:rFonts w:hint="eastAsia" w:ascii="方正仿宋_GBK" w:hAnsi="方正仿宋_GBK" w:eastAsia="方正仿宋_GBK" w:cs="方正仿宋_GBK"/>
          <w:sz w:val="32"/>
          <w:szCs w:val="32"/>
          <w:lang w:val="en"/>
        </w:rPr>
        <w:t>统计机构</w:t>
      </w:r>
      <w:r>
        <w:rPr>
          <w:rFonts w:hint="eastAsia" w:ascii="方正仿宋_GBK" w:hAnsi="方正仿宋_GBK" w:eastAsia="方正仿宋_GBK" w:cs="方正仿宋_GBK"/>
          <w:spacing w:val="-6"/>
          <w:kern w:val="0"/>
          <w:sz w:val="32"/>
          <w:szCs w:val="32"/>
        </w:rPr>
        <w:t>对符合</w:t>
      </w:r>
      <w:r>
        <w:rPr>
          <w:rFonts w:hint="eastAsia" w:ascii="方正仿宋_GBK" w:hAnsi="方正仿宋_GBK" w:eastAsia="方正仿宋_GBK" w:cs="方正仿宋_GBK"/>
          <w:sz w:val="32"/>
          <w:szCs w:val="32"/>
          <w:lang w:val="en"/>
        </w:rPr>
        <w:t>评价等级为</w:t>
      </w:r>
      <w:r>
        <w:rPr>
          <w:rFonts w:hint="eastAsia" w:ascii="方正仿宋_GBK" w:hAnsi="方正仿宋_GBK" w:eastAsia="方正仿宋_GBK" w:cs="方正仿宋_GBK"/>
          <w:color w:val="000000"/>
          <w:kern w:val="0"/>
          <w:sz w:val="32"/>
          <w:szCs w:val="32"/>
        </w:rPr>
        <w:t>统计严重失信企业</w:t>
      </w:r>
      <w:r>
        <w:rPr>
          <w:rFonts w:hint="eastAsia" w:ascii="方正仿宋_GBK" w:hAnsi="方正仿宋_GBK" w:eastAsia="方正仿宋_GBK" w:cs="方正仿宋_GBK"/>
          <w:sz w:val="32"/>
          <w:szCs w:val="32"/>
        </w:rPr>
        <w:t>（D级）</w:t>
      </w:r>
      <w:r>
        <w:rPr>
          <w:rFonts w:hint="eastAsia" w:ascii="方正仿宋_GBK" w:hAnsi="方正仿宋_GBK" w:eastAsia="方正仿宋_GBK" w:cs="方正仿宋_GBK"/>
          <w:spacing w:val="-6"/>
          <w:kern w:val="0"/>
          <w:sz w:val="32"/>
          <w:szCs w:val="32"/>
        </w:rPr>
        <w:t>，应当在该</w:t>
      </w:r>
      <w:r>
        <w:rPr>
          <w:rFonts w:hint="eastAsia" w:ascii="方正仿宋_GBK" w:hAnsi="方正仿宋_GBK" w:eastAsia="方正仿宋_GBK" w:cs="方正仿宋_GBK"/>
          <w:spacing w:val="-6"/>
          <w:kern w:val="0"/>
          <w:sz w:val="32"/>
          <w:szCs w:val="32"/>
          <w:lang w:val="en"/>
        </w:rPr>
        <w:t>企业</w:t>
      </w:r>
      <w:r>
        <w:rPr>
          <w:rFonts w:hint="eastAsia" w:ascii="方正仿宋_GBK" w:hAnsi="方正仿宋_GBK" w:eastAsia="方正仿宋_GBK" w:cs="方正仿宋_GBK"/>
          <w:spacing w:val="-6"/>
          <w:kern w:val="0"/>
          <w:sz w:val="32"/>
          <w:szCs w:val="32"/>
        </w:rPr>
        <w:t>行政处罚决定生效后５个工作日内制作</w:t>
      </w:r>
      <w:r>
        <w:rPr>
          <w:rFonts w:hint="eastAsia" w:ascii="方正仿宋_GBK" w:hAnsi="方正仿宋_GBK" w:eastAsia="方正仿宋_GBK" w:cs="方正仿宋_GBK"/>
          <w:sz w:val="32"/>
          <w:szCs w:val="32"/>
        </w:rPr>
        <w:t>企业统计信用认定告知书</w:t>
      </w:r>
      <w:r>
        <w:rPr>
          <w:rFonts w:hint="eastAsia" w:ascii="方正仿宋_GBK" w:hAnsi="方正仿宋_GBK" w:eastAsia="方正仿宋_GBK" w:cs="方正仿宋_GBK"/>
          <w:spacing w:val="-6"/>
          <w:kern w:val="0"/>
          <w:sz w:val="32"/>
          <w:szCs w:val="32"/>
        </w:rPr>
        <w:t>，告知事由、依据、后果以及享有的陈述、申辩权利。</w:t>
      </w:r>
    </w:p>
    <w:p>
      <w:pPr>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第十一条</w:t>
      </w:r>
      <w:r>
        <w:rPr>
          <w:rFonts w:hint="eastAsia" w:ascii="方正仿宋_GBK" w:hAnsi="方正仿宋_GBK" w:eastAsia="方正仿宋_GBK" w:cs="方正仿宋_GBK"/>
          <w:kern w:val="0"/>
          <w:sz w:val="32"/>
          <w:szCs w:val="32"/>
        </w:rPr>
        <w:t>　</w:t>
      </w:r>
      <w:r>
        <w:rPr>
          <w:rFonts w:hint="eastAsia" w:ascii="方正仿宋_GBK" w:hAnsi="方正仿宋_GBK" w:eastAsia="方正仿宋_GBK" w:cs="方正仿宋_GBK"/>
          <w:color w:val="000000"/>
          <w:kern w:val="0"/>
          <w:sz w:val="32"/>
          <w:szCs w:val="32"/>
        </w:rPr>
        <w:t>统计严重失信企业（</w:t>
      </w:r>
      <w:r>
        <w:rPr>
          <w:rFonts w:hint="eastAsia" w:ascii="方正仿宋_GBK" w:hAnsi="方正仿宋_GBK" w:eastAsia="方正仿宋_GBK" w:cs="方正仿宋_GBK"/>
          <w:sz w:val="32"/>
          <w:szCs w:val="32"/>
          <w:lang w:val="en"/>
        </w:rPr>
        <w:t>D级）</w:t>
      </w:r>
      <w:r>
        <w:rPr>
          <w:rFonts w:hint="eastAsia" w:ascii="方正仿宋_GBK" w:hAnsi="方正仿宋_GBK" w:eastAsia="方正仿宋_GBK" w:cs="方正仿宋_GBK"/>
          <w:kern w:val="0"/>
          <w:sz w:val="32"/>
          <w:szCs w:val="32"/>
        </w:rPr>
        <w:t>自收到</w:t>
      </w:r>
      <w:r>
        <w:rPr>
          <w:rFonts w:hint="eastAsia" w:ascii="方正仿宋_GBK" w:hAnsi="方正仿宋_GBK" w:eastAsia="方正仿宋_GBK" w:cs="方正仿宋_GBK"/>
          <w:sz w:val="32"/>
          <w:szCs w:val="32"/>
        </w:rPr>
        <w:t>企业统计信用认定告知书</w:t>
      </w:r>
      <w:r>
        <w:rPr>
          <w:rFonts w:hint="eastAsia" w:ascii="方正仿宋_GBK" w:hAnsi="方正仿宋_GBK" w:eastAsia="方正仿宋_GBK" w:cs="方正仿宋_GBK"/>
          <w:kern w:val="0"/>
          <w:sz w:val="32"/>
          <w:szCs w:val="32"/>
        </w:rPr>
        <w:t>之日起5个工作日内，可以向作出认定决定的统计机构提出陈述申辩，逾期未提出的视为放弃该权利。</w:t>
      </w:r>
    </w:p>
    <w:p>
      <w:pPr>
        <w:widowControl/>
        <w:shd w:val="clear" w:color="FFFFFF" w:fill="FFFFFF"/>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统计机构认为企业提交的陈述、申辩材料不完整的，应当告知企业在规定时限内补充相关材料。</w:t>
      </w:r>
    </w:p>
    <w:p>
      <w:pPr>
        <w:widowControl/>
        <w:shd w:val="clear" w:color="FFFFFF" w:fill="FFFFFF"/>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统计机构应当充分听取企业的意见，对企业提出的事实、理由和证据进行复核；企业提出的事实、理由或者证据成立的，统计机构应当采纳。</w:t>
      </w:r>
    </w:p>
    <w:p>
      <w:pPr>
        <w:widowControl/>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第十二条</w:t>
      </w:r>
      <w:r>
        <w:rPr>
          <w:rFonts w:eastAsia="方正仿宋_GBK"/>
          <w:kern w:val="0"/>
          <w:sz w:val="32"/>
          <w:szCs w:val="32"/>
        </w:rPr>
        <w:t xml:space="preserve"> </w:t>
      </w:r>
      <w:r>
        <w:rPr>
          <w:rFonts w:hint="eastAsia" w:ascii="方正仿宋_GBK" w:hAnsi="方正仿宋_GBK" w:eastAsia="方正仿宋_GBK" w:cs="方正仿宋_GBK"/>
          <w:kern w:val="0"/>
          <w:sz w:val="32"/>
          <w:szCs w:val="32"/>
        </w:rPr>
        <w:t xml:space="preserve"> 统计机构应当在</w:t>
      </w:r>
      <w:r>
        <w:rPr>
          <w:rFonts w:hint="eastAsia" w:ascii="方正仿宋_GBK" w:hAnsi="方正仿宋_GBK" w:eastAsia="方正仿宋_GBK" w:cs="方正仿宋_GBK"/>
          <w:color w:val="000000"/>
          <w:kern w:val="0"/>
          <w:sz w:val="32"/>
          <w:szCs w:val="32"/>
        </w:rPr>
        <w:t>统计严重失信企业（</w:t>
      </w:r>
      <w:r>
        <w:rPr>
          <w:rFonts w:hint="eastAsia" w:ascii="方正仿宋_GBK" w:hAnsi="方正仿宋_GBK" w:eastAsia="方正仿宋_GBK" w:cs="方正仿宋_GBK"/>
          <w:sz w:val="32"/>
          <w:szCs w:val="32"/>
          <w:lang w:val="en"/>
        </w:rPr>
        <w:t>D级）</w:t>
      </w:r>
      <w:r>
        <w:rPr>
          <w:rFonts w:hint="eastAsia" w:ascii="方正仿宋_GBK" w:hAnsi="方正仿宋_GBK" w:eastAsia="方正仿宋_GBK" w:cs="方正仿宋_GBK"/>
          <w:kern w:val="0"/>
          <w:sz w:val="32"/>
          <w:szCs w:val="32"/>
        </w:rPr>
        <w:t>提交陈述、申辩材料时限截止之日起7个工作日内作出决定并制作</w:t>
      </w:r>
      <w:r>
        <w:rPr>
          <w:rFonts w:hint="eastAsia" w:ascii="方正仿宋_GBK" w:hAnsi="方正仿宋_GBK" w:eastAsia="方正仿宋_GBK" w:cs="方正仿宋_GBK"/>
          <w:sz w:val="32"/>
          <w:szCs w:val="32"/>
        </w:rPr>
        <w:t>企业统计信用认定决定书</w:t>
      </w:r>
      <w:r>
        <w:rPr>
          <w:rFonts w:hint="eastAsia" w:ascii="方正仿宋_GBK" w:hAnsi="方正仿宋_GBK" w:eastAsia="方正仿宋_GBK" w:cs="方正仿宋_GBK"/>
          <w:kern w:val="0"/>
          <w:sz w:val="32"/>
          <w:szCs w:val="32"/>
        </w:rPr>
        <w:t>，载明以下事项：</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企业名称及其法定代表人或者负责人；</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统一社会信用代码；</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认定事由、依据；</w:t>
      </w:r>
    </w:p>
    <w:p>
      <w:pPr>
        <w:widowControl/>
        <w:shd w:val="clear" w:color="FFFFFF" w:fill="FFFFFF"/>
        <w:spacing w:line="60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公示渠道、期限和其他严重失信惩戒措施；</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信用修复条件和程序；</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申请行政复议和提起行政诉讼的途径和期限；</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作出认定决定的统计机构名称和认定日期，</w:t>
      </w:r>
      <w:r>
        <w:rPr>
          <w:rFonts w:hint="eastAsia" w:ascii="方正仿宋_GBK" w:hAnsi="方正仿宋_GBK" w:eastAsia="方正仿宋_GBK" w:cs="方正仿宋_GBK"/>
          <w:sz w:val="32"/>
          <w:szCs w:val="32"/>
        </w:rPr>
        <w:t>并加盖作出认定决定的统计机构印章</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z w:val="32"/>
          <w:szCs w:val="32"/>
        </w:rPr>
        <w:t>应当依照《中华人民共和国民事诉讼法》规定的送达方式送达。</w:t>
      </w:r>
    </w:p>
    <w:p>
      <w:pPr>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第十三条</w:t>
      </w:r>
      <w:r>
        <w:rPr>
          <w:rFonts w:hint="eastAsia" w:ascii="方正仿宋_GBK" w:hAnsi="方正仿宋_GBK" w:eastAsia="方正仿宋_GBK" w:cs="方正仿宋_GBK"/>
          <w:color w:val="000000"/>
          <w:kern w:val="0"/>
          <w:sz w:val="32"/>
          <w:szCs w:val="32"/>
        </w:rPr>
        <w:t xml:space="preserve">  统计机构应当归集、保存履职过程中采集的企业信用信息，按国家和重庆市有关规定实施信息共享。</w:t>
      </w: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第十四条</w:t>
      </w:r>
      <w:r>
        <w:rPr>
          <w:rFonts w:hint="eastAsia" w:ascii="方正仿宋_GBK" w:hAnsi="方正仿宋_GBK" w:eastAsia="方正仿宋_GBK" w:cs="方正仿宋_GBK"/>
          <w:color w:val="000000"/>
          <w:kern w:val="0"/>
          <w:sz w:val="32"/>
          <w:szCs w:val="32"/>
        </w:rPr>
        <w:t xml:space="preserve"> 统计机构根据企业统计信用评价</w:t>
      </w:r>
      <w:r>
        <w:rPr>
          <w:rFonts w:hint="eastAsia" w:ascii="方正仿宋_GBK" w:hAnsi="方正仿宋_GBK" w:eastAsia="方正仿宋_GBK" w:cs="方正仿宋_GBK"/>
          <w:color w:val="000000"/>
          <w:kern w:val="0"/>
          <w:sz w:val="32"/>
          <w:szCs w:val="32"/>
          <w:lang w:val="en"/>
        </w:rPr>
        <w:t>认定</w:t>
      </w:r>
      <w:r>
        <w:rPr>
          <w:rFonts w:hint="eastAsia" w:ascii="方正仿宋_GBK" w:hAnsi="方正仿宋_GBK" w:eastAsia="方正仿宋_GBK" w:cs="方正仿宋_GBK"/>
          <w:color w:val="000000"/>
          <w:kern w:val="0"/>
          <w:sz w:val="32"/>
          <w:szCs w:val="32"/>
        </w:rPr>
        <w:t>结果，在“双随机、一公开”监督检查、日常监督检查中实施差异化监管。</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第十五条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kern w:val="0"/>
          <w:sz w:val="32"/>
          <w:szCs w:val="32"/>
        </w:rPr>
        <w:t>对统计诚信企业</w:t>
      </w:r>
      <w:r>
        <w:rPr>
          <w:rFonts w:hint="eastAsia" w:ascii="方正仿宋_GBK" w:hAnsi="方正仿宋_GBK" w:eastAsia="方正仿宋_GBK" w:cs="方正仿宋_GBK"/>
          <w:sz w:val="32"/>
          <w:szCs w:val="32"/>
        </w:rPr>
        <w:t>（A级）</w:t>
      </w:r>
      <w:r>
        <w:rPr>
          <w:rFonts w:hint="eastAsia" w:ascii="方正仿宋_GBK" w:hAnsi="方正仿宋_GBK" w:eastAsia="方正仿宋_GBK" w:cs="方正仿宋_GBK"/>
          <w:kern w:val="0"/>
          <w:sz w:val="32"/>
          <w:szCs w:val="32"/>
        </w:rPr>
        <w:t>，统计机构主动向社会公告信用评价认定为A级的企业名单，适当减少常规统计执法检查频次。</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第十六条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kern w:val="0"/>
          <w:sz w:val="32"/>
          <w:szCs w:val="32"/>
        </w:rPr>
        <w:t>对统计信用异常企业</w:t>
      </w:r>
      <w:r>
        <w:rPr>
          <w:rFonts w:hint="eastAsia" w:ascii="方正仿宋_GBK" w:hAnsi="方正仿宋_GBK" w:eastAsia="方正仿宋_GBK" w:cs="方正仿宋_GBK"/>
          <w:sz w:val="32"/>
          <w:szCs w:val="32"/>
        </w:rPr>
        <w:t>（B级）、</w:t>
      </w:r>
      <w:r>
        <w:rPr>
          <w:rFonts w:hint="eastAsia" w:ascii="方正仿宋_GBK" w:hAnsi="方正仿宋_GBK" w:eastAsia="方正仿宋_GBK" w:cs="方正仿宋_GBK"/>
          <w:kern w:val="0"/>
          <w:sz w:val="32"/>
          <w:szCs w:val="32"/>
        </w:rPr>
        <w:t>统计一般失信企业</w:t>
      </w:r>
      <w:r>
        <w:rPr>
          <w:rFonts w:hint="eastAsia" w:ascii="方正仿宋_GBK" w:hAnsi="方正仿宋_GBK" w:eastAsia="方正仿宋_GBK" w:cs="方正仿宋_GBK"/>
          <w:sz w:val="32"/>
          <w:szCs w:val="32"/>
        </w:rPr>
        <w:t>（C级）</w:t>
      </w:r>
      <w:r>
        <w:rPr>
          <w:rFonts w:hint="eastAsia" w:ascii="方正仿宋_GBK" w:hAnsi="方正仿宋_GBK" w:eastAsia="方正仿宋_GBK" w:cs="方正仿宋_GBK"/>
          <w:kern w:val="0"/>
          <w:sz w:val="32"/>
          <w:szCs w:val="32"/>
        </w:rPr>
        <w:t>，统计机构对其进行约谈，依法进行从严管理，适当提高常规统计执法检查频次，指导企业改正统计违法行为。</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第十七条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kern w:val="0"/>
          <w:sz w:val="32"/>
          <w:szCs w:val="32"/>
        </w:rPr>
        <w:t>对统计严重失信企业（</w:t>
      </w:r>
      <w:r>
        <w:rPr>
          <w:rFonts w:hint="eastAsia" w:ascii="方正仿宋_GBK" w:hAnsi="方正仿宋_GBK" w:eastAsia="方正仿宋_GBK" w:cs="方正仿宋_GBK"/>
          <w:sz w:val="32"/>
          <w:szCs w:val="32"/>
          <w:lang w:val="en"/>
        </w:rPr>
        <w:t>D</w:t>
      </w:r>
      <w:r>
        <w:rPr>
          <w:rFonts w:hint="eastAsia" w:ascii="方正仿宋_GBK" w:hAnsi="方正仿宋_GBK" w:eastAsia="方正仿宋_GBK" w:cs="方正仿宋_GBK"/>
          <w:kern w:val="0"/>
          <w:sz w:val="32"/>
          <w:szCs w:val="32"/>
        </w:rPr>
        <w:t>级），统计机构按规定进行信息公示，将其作为常规统计执法检查重点监管对象，与相关部门实施联合惩戒。</w:t>
      </w:r>
    </w:p>
    <w:p>
      <w:pPr>
        <w:pStyle w:val="4"/>
        <w:spacing w:line="600" w:lineRule="exact"/>
        <w:rPr>
          <w:rFonts w:eastAsia="方正仿宋_GBK"/>
          <w:sz w:val="32"/>
          <w:szCs w:val="32"/>
          <w:highlight w:val="yellow"/>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第三章　统计严重失信企业信用信息公示和修复</w:t>
      </w:r>
    </w:p>
    <w:p>
      <w:pPr>
        <w:pStyle w:val="4"/>
        <w:spacing w:line="600" w:lineRule="exact"/>
        <w:rPr>
          <w:rFonts w:eastAsia="方正仿宋_GBK"/>
          <w:sz w:val="32"/>
          <w:szCs w:val="32"/>
        </w:rPr>
      </w:pP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第十八条</w:t>
      </w:r>
      <w:r>
        <w:rPr>
          <w:rFonts w:hint="eastAsia" w:ascii="方正仿宋_GBK" w:hAnsi="方正仿宋_GBK" w:eastAsia="方正仿宋_GBK" w:cs="方正仿宋_GBK"/>
          <w:color w:val="000000"/>
          <w:kern w:val="0"/>
          <w:sz w:val="32"/>
          <w:szCs w:val="32"/>
        </w:rPr>
        <w:t>　统计机构应当自作出统计严重失信企业认定决定之日起10个工作日内向社会公示统计严重失信信息，包括：</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（一）企业基本信息，包括企业名称、地址、统一社会信用代码、法定代表人或者负责人等；</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（二）统计违法行为；</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（三）依法处理情况；</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（四）其他相关信息。</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第十九条</w:t>
      </w:r>
      <w:r>
        <w:rPr>
          <w:rFonts w:hint="eastAsia" w:ascii="方正仿宋_GBK" w:hAnsi="方正仿宋_GBK" w:eastAsia="方正仿宋_GBK" w:cs="方正仿宋_GBK"/>
          <w:color w:val="000000"/>
          <w:kern w:val="0"/>
          <w:sz w:val="32"/>
          <w:szCs w:val="32"/>
        </w:rPr>
        <w:t xml:space="preserve">  公示统计严重失信企业信息不得泄露国家秘密、商业秘密、个人隐私，不得危害国家安全和社会公共利益。</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lang w:val="en"/>
        </w:rPr>
      </w:pPr>
      <w:r>
        <w:rPr>
          <w:rFonts w:ascii="方正黑体_GBK" w:eastAsia="方正黑体_GBK"/>
          <w:color w:val="000000"/>
          <w:kern w:val="0"/>
          <w:sz w:val="32"/>
          <w:szCs w:val="32"/>
        </w:rPr>
        <w:t>第二十条</w:t>
      </w:r>
      <w:r>
        <w:rPr>
          <w:rFonts w:hint="eastAsia" w:ascii="方正仿宋_GBK" w:hAnsi="方正仿宋_GBK" w:eastAsia="方正仿宋_GBK" w:cs="方正仿宋_GBK"/>
          <w:color w:val="000000"/>
          <w:kern w:val="0"/>
          <w:sz w:val="32"/>
          <w:szCs w:val="32"/>
        </w:rPr>
        <w:t>　重庆市统计局</w:t>
      </w:r>
      <w:r>
        <w:rPr>
          <w:rFonts w:hint="eastAsia" w:ascii="方正仿宋_GBK" w:hAnsi="方正仿宋_GBK" w:eastAsia="方正仿宋_GBK" w:cs="方正仿宋_GBK"/>
          <w:color w:val="000000"/>
          <w:kern w:val="0"/>
          <w:sz w:val="32"/>
          <w:szCs w:val="32"/>
          <w:lang w:val="en"/>
        </w:rPr>
        <w:t>应当</w:t>
      </w:r>
      <w:r>
        <w:rPr>
          <w:rFonts w:hint="eastAsia" w:ascii="方正仿宋_GBK" w:hAnsi="方正仿宋_GBK" w:eastAsia="方正仿宋_GBK" w:cs="方正仿宋_GBK"/>
          <w:color w:val="000000"/>
          <w:kern w:val="0"/>
          <w:sz w:val="32"/>
          <w:szCs w:val="32"/>
        </w:rPr>
        <w:t>在</w:t>
      </w:r>
      <w:r>
        <w:rPr>
          <w:rFonts w:hint="eastAsia" w:ascii="方正仿宋_GBK" w:hAnsi="方正仿宋_GBK" w:eastAsia="方正仿宋_GBK" w:cs="方正仿宋_GBK"/>
          <w:color w:val="000000"/>
          <w:kern w:val="0"/>
          <w:sz w:val="32"/>
          <w:szCs w:val="32"/>
          <w:lang w:val="en"/>
        </w:rPr>
        <w:t>本机构</w:t>
      </w:r>
      <w:r>
        <w:rPr>
          <w:rFonts w:hint="eastAsia" w:ascii="方正仿宋_GBK" w:hAnsi="方正仿宋_GBK" w:eastAsia="方正仿宋_GBK" w:cs="方正仿宋_GBK"/>
          <w:color w:val="000000"/>
          <w:kern w:val="0"/>
          <w:sz w:val="32"/>
          <w:szCs w:val="32"/>
        </w:rPr>
        <w:t>门户网站统计严重失信企业信息公示专栏向社会公示统计严重失信企业信息</w:t>
      </w:r>
      <w:r>
        <w:rPr>
          <w:rFonts w:hint="eastAsia" w:ascii="方正仿宋_GBK" w:hAnsi="方正仿宋_GBK" w:eastAsia="方正仿宋_GBK" w:cs="方正仿宋_GBK"/>
          <w:color w:val="000000"/>
          <w:kern w:val="0"/>
          <w:sz w:val="32"/>
          <w:szCs w:val="32"/>
          <w:lang w:val="en"/>
        </w:rPr>
        <w:t>。</w:t>
      </w:r>
    </w:p>
    <w:p>
      <w:pPr>
        <w:widowControl/>
        <w:shd w:val="clear" w:color="FFFFFF" w:fill="FFFFFF"/>
        <w:spacing w:line="600" w:lineRule="exact"/>
        <w:ind w:firstLine="61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6"/>
          <w:kern w:val="0"/>
          <w:sz w:val="32"/>
          <w:szCs w:val="32"/>
        </w:rPr>
        <w:t>区县（自治县）人民政府统计机构</w:t>
      </w:r>
      <w:r>
        <w:rPr>
          <w:rFonts w:hint="eastAsia" w:ascii="方正仿宋_GBK" w:hAnsi="方正仿宋_GBK" w:eastAsia="方正仿宋_GBK" w:cs="方正仿宋_GBK"/>
          <w:color w:val="000000"/>
          <w:kern w:val="0"/>
          <w:sz w:val="32"/>
          <w:szCs w:val="32"/>
        </w:rPr>
        <w:t>应当在本级人民政府或本级统计机构门户网站公示统计严重失信企业信息，同时加载到重庆市统计局门户网站公示专栏。</w:t>
      </w:r>
    </w:p>
    <w:p>
      <w:pPr>
        <w:widowControl/>
        <w:shd w:val="clear" w:color="FFFFFF" w:fill="FFFFFF"/>
        <w:spacing w:line="600" w:lineRule="exact"/>
        <w:ind w:firstLine="616" w:firstLineChars="200"/>
        <w:rPr>
          <w:rFonts w:hint="eastAsia" w:ascii="方正仿宋_GBK" w:hAnsi="方正仿宋_GBK" w:eastAsia="方正仿宋_GBK" w:cs="方正仿宋_GBK"/>
          <w:color w:val="000000"/>
          <w:spacing w:val="-6"/>
          <w:kern w:val="0"/>
          <w:sz w:val="32"/>
          <w:szCs w:val="32"/>
          <w:lang w:val="en"/>
        </w:rPr>
      </w:pPr>
      <w:r>
        <w:rPr>
          <w:rFonts w:hint="eastAsia" w:ascii="方正仿宋_GBK" w:hAnsi="方正仿宋_GBK" w:eastAsia="方正仿宋_GBK" w:cs="方正仿宋_GBK"/>
          <w:color w:val="000000"/>
          <w:spacing w:val="-6"/>
          <w:kern w:val="0"/>
          <w:sz w:val="32"/>
          <w:szCs w:val="32"/>
        </w:rPr>
        <w:t>区县（自治县）人民政府统计机构认定的统计严重失信企业信息，按要求在认定后5个工作日内报送重庆市统计局</w:t>
      </w:r>
      <w:r>
        <w:rPr>
          <w:rFonts w:hint="eastAsia" w:ascii="方正仿宋_GBK" w:hAnsi="方正仿宋_GBK" w:eastAsia="方正仿宋_GBK" w:cs="方正仿宋_GBK"/>
          <w:color w:val="000000"/>
          <w:spacing w:val="-6"/>
          <w:kern w:val="0"/>
          <w:sz w:val="32"/>
          <w:szCs w:val="32"/>
          <w:lang w:val="en"/>
        </w:rPr>
        <w:t>。</w:t>
      </w:r>
    </w:p>
    <w:p>
      <w:pPr>
        <w:widowControl/>
        <w:shd w:val="clear" w:color="FFFFFF" w:fill="FFFFFF"/>
        <w:spacing w:line="600" w:lineRule="exact"/>
        <w:ind w:firstLine="616" w:firstLineChars="200"/>
        <w:rPr>
          <w:rFonts w:eastAsia="方正仿宋_GBK"/>
          <w:sz w:val="32"/>
          <w:szCs w:val="32"/>
          <w:lang w:val="en"/>
        </w:rPr>
      </w:pPr>
      <w:r>
        <w:rPr>
          <w:rFonts w:hint="eastAsia" w:ascii="方正仿宋_GBK" w:hAnsi="方正仿宋_GBK" w:eastAsia="方正仿宋_GBK" w:cs="方正仿宋_GBK"/>
          <w:color w:val="000000"/>
          <w:spacing w:val="-6"/>
          <w:kern w:val="0"/>
          <w:sz w:val="32"/>
          <w:szCs w:val="32"/>
        </w:rPr>
        <w:t>重庆市统计局</w:t>
      </w:r>
      <w:r>
        <w:rPr>
          <w:rFonts w:hint="eastAsia" w:ascii="方正仿宋_GBK" w:hAnsi="方正仿宋_GBK" w:eastAsia="方正仿宋_GBK" w:cs="方正仿宋_GBK"/>
          <w:color w:val="000000"/>
          <w:spacing w:val="-6"/>
          <w:kern w:val="0"/>
          <w:sz w:val="32"/>
          <w:szCs w:val="32"/>
          <w:lang w:val="en"/>
        </w:rPr>
        <w:t>应当及时收集本机构及区县（自治县）人民政府统计机构认定的统计严重失信企业信息，按要求报送</w:t>
      </w:r>
      <w:r>
        <w:rPr>
          <w:rFonts w:hint="eastAsia" w:ascii="方正仿宋_GBK" w:hAnsi="方正仿宋_GBK" w:eastAsia="方正仿宋_GBK" w:cs="方正仿宋_GBK"/>
          <w:color w:val="000000"/>
          <w:spacing w:val="-6"/>
          <w:kern w:val="0"/>
          <w:sz w:val="32"/>
          <w:szCs w:val="32"/>
        </w:rPr>
        <w:t>国家统计局</w:t>
      </w:r>
      <w:r>
        <w:rPr>
          <w:rFonts w:hint="eastAsia" w:ascii="方正仿宋_GBK" w:hAnsi="方正仿宋_GBK" w:eastAsia="方正仿宋_GBK" w:cs="方正仿宋_GBK"/>
          <w:color w:val="000000"/>
          <w:spacing w:val="-6"/>
          <w:kern w:val="0"/>
          <w:sz w:val="32"/>
          <w:szCs w:val="32"/>
          <w:lang w:val="en"/>
        </w:rPr>
        <w:t>，并</w:t>
      </w:r>
      <w:r>
        <w:rPr>
          <w:rFonts w:hint="eastAsia" w:ascii="方正仿宋_GBK" w:hAnsi="方正仿宋_GBK" w:eastAsia="方正仿宋_GBK" w:cs="方正仿宋_GBK"/>
          <w:color w:val="000000"/>
          <w:spacing w:val="-6"/>
          <w:kern w:val="0"/>
          <w:sz w:val="32"/>
          <w:szCs w:val="32"/>
        </w:rPr>
        <w:t>统一按规定</w:t>
      </w:r>
      <w:r>
        <w:rPr>
          <w:rFonts w:hint="eastAsia" w:ascii="方正仿宋_GBK" w:hAnsi="方正仿宋_GBK" w:eastAsia="方正仿宋_GBK" w:cs="方正仿宋_GBK"/>
          <w:color w:val="000000"/>
          <w:kern w:val="0"/>
          <w:sz w:val="32"/>
          <w:szCs w:val="32"/>
          <w:lang w:val="en"/>
        </w:rPr>
        <w:t>推送至重庆市公共信用信息平台和国家企业信用信息公示系统（重庆），同时在</w:t>
      </w:r>
      <w:r>
        <w:rPr>
          <w:rFonts w:hint="eastAsia" w:ascii="方正仿宋_GBK" w:hAnsi="方正仿宋_GBK" w:eastAsia="方正仿宋_GBK" w:cs="方正仿宋_GBK"/>
          <w:color w:val="000000"/>
          <w:kern w:val="0"/>
          <w:sz w:val="32"/>
          <w:szCs w:val="32"/>
        </w:rPr>
        <w:t>“信用中国（重庆）”网站</w:t>
      </w:r>
      <w:r>
        <w:rPr>
          <w:rFonts w:hint="eastAsia" w:ascii="方正仿宋_GBK" w:hAnsi="方正仿宋_GBK" w:eastAsia="方正仿宋_GBK" w:cs="方正仿宋_GBK"/>
          <w:color w:val="000000"/>
          <w:kern w:val="0"/>
          <w:sz w:val="32"/>
          <w:szCs w:val="32"/>
          <w:lang w:val="en"/>
        </w:rPr>
        <w:t>公示。</w:t>
      </w:r>
    </w:p>
    <w:p>
      <w:pPr>
        <w:widowControl/>
        <w:shd w:val="clear" w:color="FFFFFF" w:fill="FFFFFF"/>
        <w:spacing w:line="600" w:lineRule="exact"/>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 xml:space="preserve">    第二十一条</w:t>
      </w:r>
      <w:r>
        <w:rPr>
          <w:rFonts w:hint="eastAsia" w:ascii="方正仿宋_GBK" w:hAnsi="方正仿宋_GBK" w:eastAsia="方正仿宋_GBK" w:cs="方正仿宋_GBK"/>
          <w:color w:val="000000"/>
          <w:kern w:val="0"/>
          <w:sz w:val="32"/>
          <w:szCs w:val="32"/>
        </w:rPr>
        <w:t>　</w:t>
      </w:r>
      <w:r>
        <w:rPr>
          <w:rFonts w:hint="eastAsia" w:ascii="方正仿宋_GBK" w:hAnsi="方正仿宋_GBK" w:eastAsia="方正仿宋_GBK" w:cs="方正仿宋_GBK"/>
          <w:color w:val="000000"/>
          <w:kern w:val="0"/>
          <w:sz w:val="32"/>
          <w:szCs w:val="32"/>
        </w:rPr>
        <w:t>统计严重失信企业的公示期为1年。公示期限届满3日内</w:t>
      </w:r>
      <w:r>
        <w:rPr>
          <w:rFonts w:hint="eastAsia" w:ascii="方正仿宋_GBK" w:hAnsi="方正仿宋_GBK" w:eastAsia="方正仿宋_GBK" w:cs="方正仿宋_GBK"/>
          <w:kern w:val="0"/>
          <w:sz w:val="32"/>
          <w:szCs w:val="32"/>
        </w:rPr>
        <w:t>，统计机构应当将统计严重失信信息移出本级人民政府或者统计机构门户网站，并同步在</w:t>
      </w:r>
      <w:r>
        <w:rPr>
          <w:rFonts w:hint="eastAsia" w:ascii="方正仿宋_GBK" w:hAnsi="方正仿宋_GBK" w:eastAsia="方正仿宋_GBK" w:cs="方正仿宋_GBK"/>
          <w:color w:val="000000"/>
          <w:kern w:val="0"/>
          <w:sz w:val="32"/>
          <w:szCs w:val="32"/>
          <w:lang w:val="en"/>
        </w:rPr>
        <w:t>重庆市公共信用信息平台、国家企业信用信息公示系统（重庆）和信用中国（重庆）网站</w:t>
      </w:r>
      <w:r>
        <w:rPr>
          <w:rFonts w:hint="eastAsia" w:ascii="方正仿宋_GBK" w:hAnsi="方正仿宋_GBK" w:eastAsia="方正仿宋_GBK" w:cs="方正仿宋_GBK"/>
          <w:kern w:val="0"/>
          <w:sz w:val="32"/>
          <w:szCs w:val="32"/>
        </w:rPr>
        <w:t>移除相关公示信息。</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被认定为统计严重失信企业之日起2年内，企业再次被认定为统计严重失信企业的，自再次认定之日起公示3年。</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第二十二条</w:t>
      </w:r>
      <w:r>
        <w:rPr>
          <w:rFonts w:hint="eastAsia" w:ascii="方正仿宋_GBK" w:hAnsi="方正仿宋_GBK" w:eastAsia="方正仿宋_GBK" w:cs="方正仿宋_GBK"/>
          <w:color w:val="000000"/>
          <w:kern w:val="0"/>
          <w:sz w:val="32"/>
          <w:szCs w:val="32"/>
        </w:rPr>
        <w:t>　统计严重失信企业公示满6个月后，已经履行行政处罚决定、改正统计违法行为且未再发生统计违法行为的，可以向作出认定的统计机构提出信用修复申请。</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第二十三条</w:t>
      </w:r>
      <w:r>
        <w:rPr>
          <w:rFonts w:hint="eastAsia" w:ascii="方正仿宋_GBK" w:hAnsi="方正仿宋_GBK" w:eastAsia="方正仿宋_GBK" w:cs="方正仿宋_GBK"/>
          <w:color w:val="000000"/>
          <w:kern w:val="0"/>
          <w:sz w:val="32"/>
          <w:szCs w:val="32"/>
        </w:rPr>
        <w:t>　申请信用修复的企业，应当向作出认定的统计机构提交信用修复申请书（附件1），包括履行行政处罚决定、整改到位证明材料及统计守信承诺等内容。</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第二十四条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统计机构应当在收到企业统计信用修复申请书之日起20个工作日内，对统计严重失信企业的整改情况进行核实，并作出决定。</w:t>
      </w:r>
    </w:p>
    <w:p>
      <w:pPr>
        <w:widowControl/>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同意信用修复的，统计机构应当及时出具企业统计信用修复确认通知书（附件2），将统计严重失信信息移出</w:t>
      </w:r>
      <w:r>
        <w:rPr>
          <w:rFonts w:hint="eastAsia" w:ascii="方正仿宋_GBK" w:hAnsi="方正仿宋_GBK" w:eastAsia="方正仿宋_GBK" w:cs="方正仿宋_GBK"/>
          <w:kern w:val="0"/>
          <w:sz w:val="32"/>
          <w:szCs w:val="32"/>
        </w:rPr>
        <w:t>本级人民政府或者统计机构门户网站</w:t>
      </w:r>
      <w:r>
        <w:rPr>
          <w:rFonts w:hint="eastAsia" w:ascii="方正仿宋_GBK" w:hAnsi="方正仿宋_GBK" w:eastAsia="方正仿宋_GBK" w:cs="方正仿宋_GBK"/>
          <w:color w:val="000000"/>
          <w:kern w:val="0"/>
          <w:sz w:val="32"/>
          <w:szCs w:val="32"/>
        </w:rPr>
        <w:t>，并同步将修复信息推送至</w:t>
      </w:r>
      <w:r>
        <w:rPr>
          <w:rFonts w:hint="eastAsia" w:ascii="方正仿宋_GBK" w:hAnsi="方正仿宋_GBK" w:eastAsia="方正仿宋_GBK" w:cs="方正仿宋_GBK"/>
          <w:color w:val="000000"/>
          <w:kern w:val="0"/>
          <w:sz w:val="32"/>
          <w:szCs w:val="32"/>
          <w:lang w:val="en"/>
        </w:rPr>
        <w:t>重庆市公共信用信息平台和国家企业信用信息公示系统（重庆）</w:t>
      </w:r>
      <w:r>
        <w:rPr>
          <w:rFonts w:hint="eastAsia" w:ascii="方正仿宋_GBK" w:hAnsi="方正仿宋_GBK" w:eastAsia="方正仿宋_GBK" w:cs="方正仿宋_GBK"/>
          <w:color w:val="000000"/>
          <w:kern w:val="0"/>
          <w:sz w:val="32"/>
          <w:szCs w:val="32"/>
        </w:rPr>
        <w:t>。</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不同意信用修复的，统计机构应当出具不予信用修复告知书（附件3），并说明理由。</w:t>
      </w:r>
    </w:p>
    <w:p>
      <w:pPr>
        <w:shd w:val="clear" w:color="FFFFFF" w:fill="FFFFFF"/>
        <w:spacing w:line="600" w:lineRule="exact"/>
        <w:ind w:firstLine="640"/>
        <w:rPr>
          <w:rFonts w:eastAsia="方正仿宋_GBK"/>
          <w:color w:val="000000"/>
          <w:kern w:val="0"/>
          <w:sz w:val="32"/>
          <w:szCs w:val="32"/>
        </w:rPr>
      </w:pPr>
      <w:r>
        <w:rPr>
          <w:rFonts w:ascii="方正黑体_GBK" w:eastAsia="方正黑体_GBK"/>
          <w:color w:val="000000"/>
          <w:kern w:val="0"/>
          <w:sz w:val="32"/>
          <w:szCs w:val="32"/>
        </w:rPr>
        <w:t>第二十五条</w:t>
      </w:r>
      <w:r>
        <w:rPr>
          <w:rFonts w:hint="eastAsia" w:ascii="方正仿宋_GBK" w:hAnsi="方正仿宋_GBK" w:eastAsia="方正仿宋_GBK" w:cs="方正仿宋_GBK"/>
          <w:color w:val="000000"/>
          <w:kern w:val="0"/>
          <w:sz w:val="32"/>
          <w:szCs w:val="32"/>
        </w:rPr>
        <w:t>　统计严重失信企业弄虚作假骗取信用修复的，作出认定的统计机构应当撤销信用修复的决定，并自撤销之日起重新公示1年。</w:t>
      </w:r>
    </w:p>
    <w:p>
      <w:pPr>
        <w:pStyle w:val="4"/>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第四章　救济和监督</w:t>
      </w:r>
    </w:p>
    <w:p>
      <w:pPr>
        <w:pStyle w:val="4"/>
        <w:spacing w:line="600" w:lineRule="exact"/>
        <w:rPr>
          <w:rFonts w:eastAsia="方正仿宋_GBK"/>
          <w:sz w:val="32"/>
          <w:szCs w:val="32"/>
        </w:rPr>
      </w:pP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第二十六条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作出认定的统计机构发现企业统计信用评价等级认定的依据或者公示的信息不准确，应当在2个工作日内更正。</w:t>
      </w:r>
    </w:p>
    <w:p>
      <w:pPr>
        <w:widowControl/>
        <w:shd w:val="clear" w:color="FFFFFF" w:fill="FFFFFF"/>
        <w:spacing w:line="600" w:lineRule="exact"/>
        <w:ind w:firstLine="61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6"/>
          <w:kern w:val="0"/>
          <w:sz w:val="32"/>
          <w:szCs w:val="32"/>
        </w:rPr>
        <w:t>重庆市统计局</w:t>
      </w:r>
      <w:r>
        <w:rPr>
          <w:rFonts w:hint="eastAsia" w:ascii="方正仿宋_GBK" w:hAnsi="方正仿宋_GBK" w:eastAsia="方正仿宋_GBK" w:cs="方正仿宋_GBK"/>
          <w:color w:val="000000"/>
          <w:kern w:val="0"/>
          <w:sz w:val="32"/>
          <w:szCs w:val="32"/>
        </w:rPr>
        <w:t>发现区县（自治县）人民政府统计机构企业统计信用评价等级认定的依据或者公示的信息不准确，应当要求区县（自治县）人民政府统计机构在2个工作日内更正。</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企业有证据证明其被认定的依据或者公示的信息不准确，可以填报企业统计信用异议信息处理申请表（附件4）要求作出认定决定的统计机构进行更正。统计机构经核实后，应当在2个工作日内出具企业统计信用异议信息处理结果反馈单（附件5），确认信息不准确的应当及时更正。</w:t>
      </w:r>
    </w:p>
    <w:p>
      <w:pPr>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 xml:space="preserve">第二十七条 </w:t>
      </w:r>
      <w:r>
        <w:rPr>
          <w:rFonts w:eastAsia="方正仿宋_GBK"/>
          <w:color w:val="000000"/>
          <w:kern w:val="0"/>
          <w:sz w:val="32"/>
          <w:szCs w:val="32"/>
        </w:rPr>
        <w:t xml:space="preserve"> 统计严重失信企业对统计机构作出的认定决定或者信用修复决定不服，可以依法申请行政复议或者提起行政诉讼。</w:t>
      </w:r>
    </w:p>
    <w:p>
      <w:pPr>
        <w:widowControl/>
        <w:shd w:val="clear" w:color="FFFFFF" w:fill="FFFFFF"/>
        <w:spacing w:line="600" w:lineRule="exact"/>
        <w:ind w:firstLine="640"/>
        <w:rPr>
          <w:rFonts w:eastAsia="方正仿宋_GBK"/>
          <w:sz w:val="32"/>
          <w:szCs w:val="32"/>
        </w:rPr>
      </w:pPr>
      <w:r>
        <w:rPr>
          <w:rFonts w:ascii="方正黑体_GBK" w:eastAsia="方正黑体_GBK"/>
          <w:color w:val="000000"/>
          <w:kern w:val="0"/>
          <w:sz w:val="32"/>
          <w:szCs w:val="32"/>
        </w:rPr>
        <w:t>第二十八条</w:t>
      </w:r>
      <w:r>
        <w:rPr>
          <w:rFonts w:eastAsia="方正仿宋_GBK"/>
          <w:color w:val="000000"/>
          <w:kern w:val="0"/>
          <w:sz w:val="32"/>
          <w:szCs w:val="32"/>
        </w:rPr>
        <w:t xml:space="preserve">  任何单位和个人有权举报企业统计失信行为和统计机构在统计失信企业信用管理工作中的违法行为。</w:t>
      </w:r>
    </w:p>
    <w:p>
      <w:pPr>
        <w:widowControl/>
        <w:shd w:val="clear" w:color="FFFFFF" w:fill="FFFFFF"/>
        <w:spacing w:line="600" w:lineRule="exact"/>
        <w:ind w:firstLine="640"/>
        <w:rPr>
          <w:rFonts w:hint="eastAsia" w:ascii="方正仿宋_GBK" w:hAnsi="方正仿宋_GBK" w:eastAsia="方正仿宋_GBK" w:cs="方正仿宋_GBK"/>
          <w:color w:val="000000"/>
          <w:kern w:val="0"/>
          <w:sz w:val="32"/>
          <w:szCs w:val="32"/>
        </w:rPr>
      </w:pPr>
      <w:r>
        <w:rPr>
          <w:rFonts w:ascii="方正黑体_GBK" w:eastAsia="方正黑体_GBK"/>
          <w:color w:val="000000"/>
          <w:kern w:val="0"/>
          <w:sz w:val="32"/>
          <w:szCs w:val="32"/>
        </w:rPr>
        <w:t>第二十九条</w:t>
      </w:r>
      <w:r>
        <w:rPr>
          <w:rFonts w:eastAsia="方正仿宋_GBK"/>
          <w:color w:val="000000"/>
          <w:kern w:val="0"/>
          <w:sz w:val="32"/>
          <w:szCs w:val="32"/>
        </w:rPr>
        <w:t>　</w:t>
      </w:r>
      <w:r>
        <w:rPr>
          <w:rFonts w:hint="eastAsia" w:ascii="方正仿宋_GBK" w:hAnsi="方正仿宋_GBK" w:eastAsia="方正仿宋_GBK" w:cs="方正仿宋_GBK"/>
          <w:sz w:val="32"/>
          <w:szCs w:val="32"/>
        </w:rPr>
        <w:t>区县（自治县）人民政府统计机构</w:t>
      </w:r>
      <w:r>
        <w:rPr>
          <w:rFonts w:hint="eastAsia" w:ascii="方正仿宋_GBK" w:hAnsi="方正仿宋_GBK" w:eastAsia="方正仿宋_GBK" w:cs="方正仿宋_GBK"/>
          <w:color w:val="000000"/>
          <w:kern w:val="0"/>
          <w:sz w:val="32"/>
          <w:szCs w:val="32"/>
        </w:rPr>
        <w:t>未按本办法履行职责的，由重庆市统计局责令改正；情节严重的，对负有责任的主管人员和其他直接责任人员依法依规追究责任。</w:t>
      </w:r>
    </w:p>
    <w:p>
      <w:pPr>
        <w:pStyle w:val="4"/>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第五章　附 则</w:t>
      </w:r>
    </w:p>
    <w:p>
      <w:pPr>
        <w:pStyle w:val="4"/>
        <w:spacing w:line="600" w:lineRule="exact"/>
        <w:rPr>
          <w:rFonts w:eastAsia="方正仿宋_GBK"/>
          <w:sz w:val="32"/>
          <w:szCs w:val="32"/>
        </w:rPr>
      </w:pP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第三十条</w:t>
      </w:r>
      <w:r>
        <w:rPr>
          <w:rFonts w:eastAsia="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 xml:space="preserve"> 企业统计信用认定及修复工作由本级统计机构统计执法机构统筹负责。</w:t>
      </w: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第三十一条</w:t>
      </w:r>
      <w:r>
        <w:rPr>
          <w:rFonts w:eastAsia="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 xml:space="preserve"> 承担法定的政府统计资料报送义务的其他单位，其统计信用管理参照本办法执行。</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第三十二条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本办法由重庆市统计局负责解释。</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第三十三条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本办法自公布之日起实施。《重庆市企业统计信用管理办法（试行）》（渝统发〔2019〕68号）、《重庆市统计从业人员统计信用档案管理办法（试行）》（渝统发〔2019〕78号）同时废止。</w:t>
      </w:r>
    </w:p>
    <w:p>
      <w:pPr>
        <w:widowControl/>
        <w:shd w:val="clear" w:color="FFFFFF" w:fill="FFFFFF"/>
        <w:spacing w:line="600" w:lineRule="exact"/>
        <w:ind w:firstLine="640" w:firstLineChars="200"/>
        <w:rPr>
          <w:rFonts w:eastAsia="方正仿宋_GBK"/>
          <w:sz w:val="32"/>
          <w:szCs w:val="32"/>
        </w:rPr>
      </w:pP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eastAsia="方正仿宋_GBK"/>
          <w:color w:val="000000"/>
          <w:kern w:val="0"/>
          <w:sz w:val="32"/>
          <w:szCs w:val="32"/>
        </w:rPr>
        <w:br w:type="page"/>
      </w:r>
      <w:r>
        <w:rPr>
          <w:rFonts w:hint="eastAsia" w:ascii="方正仿宋_GBK" w:hAnsi="方正仿宋_GBK" w:eastAsia="方正仿宋_GBK" w:cs="方正仿宋_GBK"/>
          <w:color w:val="000000"/>
          <w:kern w:val="0"/>
          <w:sz w:val="32"/>
          <w:szCs w:val="32"/>
        </w:rPr>
        <w:t>附件：1.企业统计信用修复申请表</w:t>
      </w:r>
    </w:p>
    <w:p>
      <w:pPr>
        <w:widowControl/>
        <w:shd w:val="clear" w:color="FFFFFF" w:fill="FFFFFF"/>
        <w:spacing w:line="60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2.企业统计信用修复确认通知书</w:t>
      </w:r>
    </w:p>
    <w:p>
      <w:pPr>
        <w:widowControl/>
        <w:shd w:val="clear" w:color="FFFFFF" w:fill="FFFFFF"/>
        <w:spacing w:line="60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3.不予信用修复告知书</w:t>
      </w:r>
    </w:p>
    <w:p>
      <w:pPr>
        <w:widowControl/>
        <w:shd w:val="clear" w:color="FFFFFF" w:fill="FFFFFF"/>
        <w:spacing w:line="60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4.企业统计信用异议信息处理申请表</w:t>
      </w:r>
    </w:p>
    <w:p>
      <w:pPr>
        <w:widowControl/>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5.企业统计信用异议信息处理结果反馈单</w:t>
      </w: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widowControl/>
        <w:spacing w:line="630" w:lineRule="atLeast"/>
        <w:jc w:val="left"/>
      </w:pPr>
      <w:r>
        <w:rPr>
          <w:rFonts w:eastAsia="方正黑体_GBK"/>
          <w:kern w:val="0"/>
          <w:sz w:val="32"/>
          <w:szCs w:val="32"/>
          <w:shd w:val="clear" w:color="FFFFFF" w:fill="FFFFFF"/>
        </w:rPr>
        <w:br w:type="page"/>
      </w:r>
      <w:r>
        <w:rPr>
          <w:rFonts w:eastAsia="方正黑体_GBK"/>
          <w:kern w:val="0"/>
          <w:sz w:val="32"/>
          <w:szCs w:val="32"/>
          <w:shd w:val="clear" w:color="FFFFFF" w:fill="FFFFFF"/>
        </w:rPr>
        <w:t>附件1</w:t>
      </w:r>
    </w:p>
    <w:p>
      <w:pPr>
        <w:widowControl/>
        <w:spacing w:line="630" w:lineRule="atLeast"/>
        <w:jc w:val="center"/>
        <w:rPr>
          <w:b/>
        </w:rPr>
      </w:pPr>
      <w:r>
        <w:rPr>
          <w:rStyle w:val="10"/>
          <w:rFonts w:eastAsia="方正小标宋_GBK"/>
          <w:b w:val="0"/>
          <w:kern w:val="0"/>
          <w:sz w:val="44"/>
          <w:szCs w:val="44"/>
          <w:shd w:val="clear" w:color="FFFFFF" w:fill="FFFFFF"/>
        </w:rPr>
        <w:t>企业统计信用修复申请表</w:t>
      </w:r>
    </w:p>
    <w:tbl>
      <w:tblPr>
        <w:tblStyle w:val="8"/>
        <w:tblW w:w="8477" w:type="dxa"/>
        <w:jc w:val="center"/>
        <w:tblInd w:w="-1977" w:type="dxa"/>
        <w:tblLayout w:type="fixed"/>
        <w:tblCellMar>
          <w:top w:w="0" w:type="dxa"/>
          <w:left w:w="0" w:type="dxa"/>
          <w:bottom w:w="0" w:type="dxa"/>
          <w:right w:w="0" w:type="dxa"/>
        </w:tblCellMar>
      </w:tblPr>
      <w:tblGrid>
        <w:gridCol w:w="2435"/>
        <w:gridCol w:w="2682"/>
        <w:gridCol w:w="3360"/>
      </w:tblGrid>
      <w:tr>
        <w:tblPrEx>
          <w:tblLayout w:type="fixed"/>
          <w:tblCellMar>
            <w:top w:w="0" w:type="dxa"/>
            <w:left w:w="0" w:type="dxa"/>
            <w:bottom w:w="0" w:type="dxa"/>
            <w:right w:w="0" w:type="dxa"/>
          </w:tblCellMar>
        </w:tblPrEx>
        <w:trPr>
          <w:trHeight w:val="457" w:hRule="atLeast"/>
          <w:jc w:val="center"/>
        </w:trPr>
        <w:tc>
          <w:tcPr>
            <w:tcW w:w="2435"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630" w:lineRule="atLeast"/>
              <w:jc w:val="center"/>
              <w:rPr>
                <w:rStyle w:val="10"/>
                <w:rFonts w:eastAsia="方正仿宋_GBK"/>
                <w:b w:val="0"/>
                <w:bCs w:val="0"/>
                <w:kern w:val="0"/>
                <w:sz w:val="32"/>
                <w:szCs w:val="32"/>
              </w:rPr>
            </w:pPr>
            <w:r>
              <w:rPr>
                <w:rStyle w:val="10"/>
                <w:rFonts w:eastAsia="方正仿宋_GBK"/>
                <w:b w:val="0"/>
                <w:bCs w:val="0"/>
                <w:kern w:val="0"/>
                <w:sz w:val="32"/>
                <w:szCs w:val="32"/>
              </w:rPr>
              <w:t>信用主体</w:t>
            </w:r>
          </w:p>
          <w:p>
            <w:pPr>
              <w:widowControl/>
              <w:spacing w:line="630" w:lineRule="atLeast"/>
              <w:jc w:val="center"/>
            </w:pPr>
            <w:r>
              <w:rPr>
                <w:rStyle w:val="10"/>
                <w:rFonts w:eastAsia="方正仿宋_GBK"/>
                <w:b w:val="0"/>
                <w:bCs w:val="0"/>
                <w:kern w:val="0"/>
                <w:sz w:val="32"/>
                <w:szCs w:val="32"/>
              </w:rPr>
              <w:t>基本情况</w:t>
            </w:r>
          </w:p>
        </w:tc>
        <w:tc>
          <w:tcPr>
            <w:tcW w:w="268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申请单位</w:t>
            </w:r>
          </w:p>
        </w:tc>
        <w:tc>
          <w:tcPr>
            <w:tcW w:w="33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pPr>
          </w:p>
        </w:tc>
      </w:tr>
      <w:tr>
        <w:tblPrEx>
          <w:tblLayout w:type="fixed"/>
          <w:tblCellMar>
            <w:top w:w="0" w:type="dxa"/>
            <w:left w:w="0" w:type="dxa"/>
            <w:bottom w:w="0" w:type="dxa"/>
            <w:right w:w="0" w:type="dxa"/>
          </w:tblCellMar>
        </w:tblPrEx>
        <w:trPr>
          <w:trHeight w:val="740" w:hRule="atLeast"/>
          <w:jc w:val="center"/>
        </w:trPr>
        <w:tc>
          <w:tcPr>
            <w:tcW w:w="243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统一社会信用代码</w:t>
            </w:r>
          </w:p>
        </w:tc>
        <w:tc>
          <w:tcPr>
            <w:tcW w:w="33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pPr>
          </w:p>
        </w:tc>
      </w:tr>
      <w:tr>
        <w:tblPrEx>
          <w:tblLayout w:type="fixed"/>
          <w:tblCellMar>
            <w:top w:w="0" w:type="dxa"/>
            <w:left w:w="0" w:type="dxa"/>
            <w:bottom w:w="0" w:type="dxa"/>
            <w:right w:w="0" w:type="dxa"/>
          </w:tblCellMar>
        </w:tblPrEx>
        <w:trPr>
          <w:trHeight w:val="562" w:hRule="atLeast"/>
          <w:jc w:val="center"/>
        </w:trPr>
        <w:tc>
          <w:tcPr>
            <w:tcW w:w="243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联系方式</w:t>
            </w:r>
          </w:p>
        </w:tc>
        <w:tc>
          <w:tcPr>
            <w:tcW w:w="33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p>
        </w:tc>
      </w:tr>
      <w:tr>
        <w:tblPrEx>
          <w:tblLayout w:type="fixed"/>
          <w:tblCellMar>
            <w:top w:w="0" w:type="dxa"/>
            <w:left w:w="0" w:type="dxa"/>
            <w:bottom w:w="0" w:type="dxa"/>
            <w:right w:w="0" w:type="dxa"/>
          </w:tblCellMar>
        </w:tblPrEx>
        <w:trPr>
          <w:trHeight w:val="334" w:hRule="atLeast"/>
          <w:jc w:val="center"/>
        </w:trPr>
        <w:tc>
          <w:tcPr>
            <w:tcW w:w="2435" w:type="dxa"/>
            <w:tcBorders>
              <w:top w:val="single" w:color="000000" w:sz="4"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rPr>
                <w:rStyle w:val="10"/>
                <w:rFonts w:eastAsia="方正仿宋_GBK"/>
                <w:b w:val="0"/>
                <w:bCs w:val="0"/>
                <w:kern w:val="0"/>
                <w:sz w:val="32"/>
                <w:szCs w:val="32"/>
              </w:rPr>
            </w:pPr>
            <w:r>
              <w:rPr>
                <w:rStyle w:val="10"/>
                <w:rFonts w:eastAsia="方正仿宋_GBK"/>
                <w:b w:val="0"/>
                <w:bCs w:val="0"/>
                <w:kern w:val="0"/>
                <w:sz w:val="32"/>
                <w:szCs w:val="32"/>
              </w:rPr>
              <w:t>申请修复</w:t>
            </w:r>
          </w:p>
          <w:p>
            <w:pPr>
              <w:widowControl/>
              <w:spacing w:line="294" w:lineRule="atLeast"/>
              <w:jc w:val="center"/>
            </w:pPr>
            <w:r>
              <w:rPr>
                <w:rStyle w:val="10"/>
                <w:rFonts w:eastAsia="方正仿宋_GBK"/>
                <w:b w:val="0"/>
                <w:bCs w:val="0"/>
                <w:kern w:val="0"/>
                <w:sz w:val="32"/>
                <w:szCs w:val="32"/>
              </w:rPr>
              <w:t>的相关内容</w:t>
            </w:r>
          </w:p>
        </w:tc>
        <w:tc>
          <w:tcPr>
            <w:tcW w:w="6042" w:type="dxa"/>
            <w:gridSpan w:val="2"/>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pPr>
          </w:p>
        </w:tc>
      </w:tr>
      <w:tr>
        <w:tblPrEx>
          <w:tblLayout w:type="fixed"/>
          <w:tblCellMar>
            <w:top w:w="0" w:type="dxa"/>
            <w:left w:w="0" w:type="dxa"/>
            <w:bottom w:w="0" w:type="dxa"/>
            <w:right w:w="0" w:type="dxa"/>
          </w:tblCellMar>
        </w:tblPrEx>
        <w:trPr>
          <w:trHeight w:val="756" w:hRule="atLeast"/>
          <w:jc w:val="center"/>
        </w:trPr>
        <w:tc>
          <w:tcPr>
            <w:tcW w:w="2435" w:type="dxa"/>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pPr>
              <w:widowControl/>
              <w:spacing w:line="294" w:lineRule="atLeast"/>
              <w:jc w:val="center"/>
              <w:rPr>
                <w:lang w:val="en"/>
              </w:rPr>
            </w:pPr>
            <w:r>
              <w:rPr>
                <w:rStyle w:val="10"/>
                <w:rFonts w:eastAsia="方正仿宋_GBK"/>
                <w:b w:val="0"/>
                <w:bCs w:val="0"/>
                <w:kern w:val="0"/>
                <w:sz w:val="32"/>
                <w:szCs w:val="32"/>
              </w:rPr>
              <w:t>申请信用修复的理由</w:t>
            </w:r>
            <w:r>
              <w:rPr>
                <w:rStyle w:val="10"/>
                <w:rFonts w:eastAsia="方正仿宋_GBK"/>
                <w:b w:val="0"/>
                <w:bCs w:val="0"/>
                <w:kern w:val="0"/>
                <w:sz w:val="32"/>
                <w:szCs w:val="32"/>
                <w:lang w:val="en"/>
              </w:rPr>
              <w:t>及证明材料</w:t>
            </w:r>
          </w:p>
        </w:tc>
        <w:tc>
          <w:tcPr>
            <w:tcW w:w="6042" w:type="dxa"/>
            <w:gridSpan w:val="2"/>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pPr>
              <w:widowControl/>
              <w:spacing w:line="294" w:lineRule="atLeast"/>
              <w:jc w:val="left"/>
            </w:pPr>
            <w:r>
              <w:t xml:space="preserve">   </w:t>
            </w:r>
          </w:p>
          <w:p>
            <w:pPr>
              <w:spacing w:line="520" w:lineRule="exact"/>
              <w:ind w:firstLine="560" w:firstLineChars="200"/>
              <w:jc w:val="center"/>
              <w:rPr>
                <w:rFonts w:eastAsia="方正仿宋_GBK"/>
                <w:kern w:val="0"/>
                <w:sz w:val="28"/>
                <w:lang w:val="en"/>
              </w:rPr>
            </w:pPr>
            <w:r>
              <w:rPr>
                <w:rFonts w:eastAsia="方正仿宋_GBK"/>
                <w:kern w:val="0"/>
                <w:sz w:val="28"/>
                <w:lang w:val="en"/>
              </w:rPr>
              <w:t>（证明材料包括：履行行政处罚决定、整改到位证明材料及统计守信承诺等内容）</w:t>
            </w:r>
          </w:p>
          <w:p>
            <w:pPr>
              <w:spacing w:line="520" w:lineRule="exact"/>
              <w:jc w:val="center"/>
            </w:pPr>
          </w:p>
        </w:tc>
      </w:tr>
      <w:tr>
        <w:tblPrEx>
          <w:tblLayout w:type="fixed"/>
          <w:tblCellMar>
            <w:top w:w="0" w:type="dxa"/>
            <w:left w:w="0" w:type="dxa"/>
            <w:bottom w:w="0" w:type="dxa"/>
            <w:right w:w="0" w:type="dxa"/>
          </w:tblCellMar>
        </w:tblPrEx>
        <w:trPr>
          <w:trHeight w:val="1990" w:hRule="atLeast"/>
          <w:jc w:val="center"/>
        </w:trPr>
        <w:tc>
          <w:tcPr>
            <w:tcW w:w="8477" w:type="dxa"/>
            <w:gridSpan w:val="3"/>
            <w:tcBorders>
              <w:top w:val="single" w:color="auto" w:sz="4" w:space="0"/>
              <w:left w:val="single" w:color="auto" w:sz="4" w:space="0"/>
              <w:bottom w:val="single" w:color="auto" w:sz="4" w:space="0"/>
              <w:right w:val="single" w:color="auto" w:sz="4" w:space="0"/>
            </w:tcBorders>
            <w:noWrap w:val="0"/>
            <w:tcMar>
              <w:top w:w="0" w:type="dxa"/>
              <w:left w:w="810" w:type="dxa"/>
              <w:bottom w:w="0" w:type="dxa"/>
              <w:right w:w="108" w:type="dxa"/>
            </w:tcMar>
            <w:vAlign w:val="center"/>
          </w:tcPr>
          <w:p>
            <w:pPr>
              <w:widowControl/>
              <w:spacing w:line="240" w:lineRule="auto"/>
              <w:jc w:val="left"/>
              <w:rPr>
                <w:sz w:val="32"/>
                <w:szCs w:val="32"/>
              </w:rPr>
            </w:pPr>
            <w:r>
              <w:rPr>
                <w:rFonts w:eastAsia="方正仿宋_GBK"/>
                <w:kern w:val="0"/>
                <w:sz w:val="32"/>
                <w:szCs w:val="32"/>
              </w:rPr>
              <w:t>本单位（本人）声明，提交的材料真实有效。</w:t>
            </w:r>
          </w:p>
          <w:p>
            <w:pPr>
              <w:widowControl/>
              <w:spacing w:line="240" w:lineRule="auto"/>
              <w:ind w:firstLine="450" w:firstLineChars="300"/>
              <w:jc w:val="left"/>
              <w:rPr>
                <w:rFonts w:hint="eastAsia" w:ascii="方正仿宋_GBK" w:hAnsi="方正仿宋_GBK" w:eastAsia="方正仿宋_GBK" w:cs="方正仿宋_GBK"/>
                <w:kern w:val="0"/>
                <w:sz w:val="15"/>
                <w:szCs w:val="15"/>
              </w:rPr>
            </w:pPr>
          </w:p>
          <w:p>
            <w:pPr>
              <w:widowControl/>
              <w:spacing w:line="240" w:lineRule="auto"/>
              <w:ind w:firstLine="960" w:firstLineChars="300"/>
              <w:jc w:val="left"/>
              <w:rPr>
                <w:sz w:val="32"/>
                <w:szCs w:val="32"/>
              </w:rPr>
            </w:pPr>
            <w:r>
              <w:rPr>
                <w:rFonts w:eastAsia="方正仿宋_GBK"/>
                <w:kern w:val="0"/>
                <w:sz w:val="32"/>
                <w:szCs w:val="32"/>
              </w:rPr>
              <w:t>法定代表人（自然人）签字：     （盖章）</w:t>
            </w:r>
          </w:p>
          <w:p>
            <w:pPr>
              <w:widowControl/>
              <w:spacing w:line="240" w:lineRule="auto"/>
              <w:ind w:firstLine="1800" w:firstLineChars="1000"/>
              <w:jc w:val="left"/>
              <w:rPr>
                <w:rFonts w:eastAsia="方正仿宋_GBK"/>
                <w:kern w:val="0"/>
                <w:sz w:val="18"/>
                <w:szCs w:val="18"/>
              </w:rPr>
            </w:pPr>
          </w:p>
          <w:p>
            <w:pPr>
              <w:widowControl/>
              <w:spacing w:line="240" w:lineRule="auto"/>
              <w:ind w:firstLine="3200" w:firstLineChars="1000"/>
              <w:jc w:val="left"/>
              <w:rPr>
                <w:sz w:val="32"/>
                <w:szCs w:val="32"/>
              </w:rPr>
            </w:pPr>
            <w:r>
              <w:rPr>
                <w:rFonts w:eastAsia="方正仿宋_GBK"/>
                <w:kern w:val="0"/>
                <w:sz w:val="32"/>
                <w:szCs w:val="32"/>
              </w:rPr>
              <w:t>申请日期：</w:t>
            </w:r>
          </w:p>
        </w:tc>
      </w:tr>
      <w:tr>
        <w:tblPrEx>
          <w:tblLayout w:type="fixed"/>
          <w:tblCellMar>
            <w:top w:w="0" w:type="dxa"/>
            <w:left w:w="0" w:type="dxa"/>
            <w:bottom w:w="0" w:type="dxa"/>
            <w:right w:w="0" w:type="dxa"/>
          </w:tblCellMar>
        </w:tblPrEx>
        <w:trPr>
          <w:trHeight w:val="592" w:hRule="atLeast"/>
          <w:jc w:val="center"/>
        </w:trPr>
        <w:tc>
          <w:tcPr>
            <w:tcW w:w="8477" w:type="dxa"/>
            <w:gridSpan w:val="3"/>
            <w:tcBorders>
              <w:top w:val="single" w:color="auto" w:sz="4" w:space="0"/>
              <w:left w:val="single" w:color="auto" w:sz="4" w:space="0"/>
              <w:bottom w:val="single" w:color="auto" w:sz="4" w:space="0"/>
              <w:right w:val="single" w:color="auto" w:sz="4" w:space="0"/>
            </w:tcBorders>
            <w:noWrap w:val="0"/>
            <w:tcMar>
              <w:top w:w="0" w:type="dxa"/>
              <w:left w:w="810" w:type="dxa"/>
              <w:bottom w:w="0" w:type="dxa"/>
              <w:right w:w="108" w:type="dxa"/>
            </w:tcMar>
            <w:vAlign w:val="center"/>
          </w:tcPr>
          <w:p>
            <w:pPr>
              <w:widowControl/>
              <w:spacing w:line="294" w:lineRule="atLeast"/>
              <w:jc w:val="left"/>
            </w:pPr>
            <w:r>
              <w:rPr>
                <w:rStyle w:val="10"/>
                <w:rFonts w:eastAsia="方正仿宋_GBK"/>
                <w:b w:val="0"/>
                <w:bCs w:val="0"/>
                <w:kern w:val="0"/>
                <w:sz w:val="32"/>
                <w:szCs w:val="32"/>
              </w:rPr>
              <w:t>以下内容由统计机构填写</w:t>
            </w:r>
          </w:p>
        </w:tc>
      </w:tr>
      <w:tr>
        <w:tblPrEx>
          <w:tblLayout w:type="fixed"/>
          <w:tblCellMar>
            <w:top w:w="0" w:type="dxa"/>
            <w:left w:w="0" w:type="dxa"/>
            <w:bottom w:w="0" w:type="dxa"/>
            <w:right w:w="0" w:type="dxa"/>
          </w:tblCellMar>
        </w:tblPrEx>
        <w:trPr>
          <w:trHeight w:val="1247" w:hRule="atLeast"/>
          <w:jc w:val="center"/>
        </w:trPr>
        <w:tc>
          <w:tcPr>
            <w:tcW w:w="8477" w:type="dxa"/>
            <w:gridSpan w:val="3"/>
            <w:tcBorders>
              <w:top w:val="single" w:color="auto" w:sz="4" w:space="0"/>
              <w:left w:val="single" w:color="auto" w:sz="4" w:space="0"/>
              <w:bottom w:val="single" w:color="auto" w:sz="4" w:space="0"/>
              <w:right w:val="single" w:color="auto" w:sz="4" w:space="0"/>
            </w:tcBorders>
            <w:noWrap w:val="0"/>
            <w:tcMar>
              <w:top w:w="0" w:type="dxa"/>
              <w:left w:w="810" w:type="dxa"/>
              <w:bottom w:w="0" w:type="dxa"/>
              <w:right w:w="108" w:type="dxa"/>
            </w:tcMar>
            <w:vAlign w:val="center"/>
          </w:tcPr>
          <w:p>
            <w:pPr>
              <w:spacing w:line="520" w:lineRule="exact"/>
              <w:ind w:firstLine="560" w:firstLineChars="200"/>
            </w:pPr>
            <w:r>
              <w:rPr>
                <w:rFonts w:eastAsia="方正仿宋_GBK"/>
                <w:kern w:val="0"/>
                <w:sz w:val="28"/>
              </w:rPr>
              <w:t>经核对</w:t>
            </w:r>
            <w:r>
              <w:rPr>
                <w:rFonts w:eastAsia="方正仿宋_GBK"/>
                <w:kern w:val="0"/>
                <w:sz w:val="32"/>
                <w:szCs w:val="32"/>
                <w:lang w:val="zh-CN"/>
              </w:rPr>
              <w:t>，</w:t>
            </w:r>
            <w:r>
              <w:rPr>
                <w:rFonts w:eastAsia="方正仿宋_GBK"/>
                <w:kern w:val="0"/>
                <w:sz w:val="28"/>
              </w:rPr>
              <w:t>申报单位提交</w:t>
            </w:r>
            <w:r>
              <w:rPr>
                <w:rFonts w:eastAsia="方正仿宋_GBK"/>
                <w:kern w:val="0"/>
                <w:sz w:val="28"/>
                <w:lang w:val="zh-CN"/>
              </w:rPr>
              <w:t xml:space="preserve"> </w:t>
            </w:r>
            <w:r>
              <w:rPr>
                <w:rFonts w:eastAsia="方正仿宋_GBK"/>
                <w:kern w:val="0"/>
                <w:sz w:val="28"/>
                <w:u w:val="single"/>
                <w:lang w:val="zh-CN"/>
              </w:rPr>
              <w:t xml:space="preserve">     </w:t>
            </w:r>
            <w:r>
              <w:rPr>
                <w:rFonts w:eastAsia="方正仿宋_GBK"/>
                <w:kern w:val="0"/>
                <w:sz w:val="28"/>
                <w:lang w:val="zh-CN"/>
              </w:rPr>
              <w:t>份材料</w:t>
            </w:r>
            <w:r>
              <w:rPr>
                <w:rFonts w:eastAsia="方正仿宋_GBK"/>
                <w:kern w:val="0"/>
                <w:sz w:val="32"/>
                <w:szCs w:val="32"/>
                <w:lang w:val="zh-CN"/>
              </w:rPr>
              <w:t>，</w:t>
            </w:r>
            <w:r>
              <w:rPr>
                <w:rFonts w:eastAsia="方正仿宋_GBK"/>
                <w:kern w:val="0"/>
                <w:sz w:val="28"/>
              </w:rPr>
              <w:t>予以接收。</w:t>
            </w:r>
          </w:p>
          <w:p>
            <w:pPr>
              <w:spacing w:line="520" w:lineRule="exact"/>
            </w:pPr>
            <w:r>
              <w:rPr>
                <w:rFonts w:eastAsia="方正仿宋_GBK"/>
                <w:kern w:val="0"/>
                <w:sz w:val="28"/>
              </w:rPr>
              <w:t>接收者(签字):                接收日期:   年   月   日</w:t>
            </w:r>
          </w:p>
        </w:tc>
      </w:tr>
    </w:tbl>
    <w:p>
      <w:pPr>
        <w:widowControl/>
        <w:spacing w:line="630" w:lineRule="atLeast"/>
        <w:ind w:firstLine="240" w:firstLineChars="100"/>
        <w:jc w:val="left"/>
        <w:rPr>
          <w:rFonts w:ascii="宋体" w:hAnsi="宋体"/>
          <w:kern w:val="0"/>
          <w:sz w:val="24"/>
          <w:szCs w:val="32"/>
          <w:shd w:val="clear" w:color="FFFFFF" w:fill="FFFFFF"/>
        </w:rPr>
      </w:pPr>
      <w:r>
        <w:rPr>
          <w:rFonts w:ascii="宋体" w:hAnsi="宋体"/>
          <w:kern w:val="0"/>
          <w:sz w:val="24"/>
          <w:szCs w:val="32"/>
          <w:shd w:val="clear" w:color="FFFFFF" w:fill="FFFFFF"/>
        </w:rPr>
        <w:t>备注:本表一式两份</w:t>
      </w:r>
    </w:p>
    <w:p>
      <w:pPr>
        <w:rPr>
          <w:rFonts w:ascii="宋体" w:hAnsi="宋体"/>
          <w:kern w:val="0"/>
          <w:sz w:val="24"/>
          <w:szCs w:val="32"/>
          <w:shd w:val="clear" w:color="FFFFFF" w:fill="FFFFFF"/>
        </w:rPr>
      </w:pPr>
      <w:r>
        <w:rPr>
          <w:rFonts w:ascii="宋体" w:hAnsi="宋体"/>
          <w:kern w:val="0"/>
          <w:sz w:val="24"/>
          <w:szCs w:val="32"/>
          <w:shd w:val="clear" w:color="FFFFFF" w:fill="FFFFFF"/>
        </w:rPr>
        <w:br w:type="page"/>
      </w:r>
    </w:p>
    <w:p>
      <w:pPr>
        <w:widowControl/>
        <w:spacing w:line="630" w:lineRule="atLeast"/>
        <w:jc w:val="left"/>
      </w:pPr>
      <w:r>
        <w:rPr>
          <w:rFonts w:eastAsia="方正黑体_GBK"/>
          <w:kern w:val="0"/>
          <w:sz w:val="32"/>
          <w:szCs w:val="32"/>
          <w:shd w:val="clear" w:color="FFFFFF" w:fill="FFFFFF"/>
        </w:rPr>
        <w:t>附件2</w:t>
      </w:r>
    </w:p>
    <w:p>
      <w:pPr>
        <w:widowControl/>
        <w:spacing w:line="240" w:lineRule="auto"/>
        <w:jc w:val="center"/>
        <w:rPr>
          <w:b/>
        </w:rPr>
      </w:pPr>
      <w:r>
        <w:rPr>
          <w:rStyle w:val="10"/>
          <w:rFonts w:eastAsia="方正小标宋_GBK"/>
          <w:b w:val="0"/>
          <w:kern w:val="0"/>
          <w:sz w:val="44"/>
          <w:szCs w:val="44"/>
          <w:shd w:val="clear" w:color="FFFFFF" w:fill="FFFFFF"/>
        </w:rPr>
        <w:t>企业统计信用修复确认通知书</w:t>
      </w:r>
    </w:p>
    <w:p>
      <w:pPr>
        <w:widowControl/>
        <w:spacing w:line="240" w:lineRule="auto"/>
        <w:jc w:val="center"/>
      </w:pPr>
      <w:r>
        <w:rPr>
          <w:rStyle w:val="10"/>
          <w:rFonts w:eastAsia="方正仿宋_GBK"/>
          <w:b w:val="0"/>
          <w:bCs w:val="0"/>
          <w:kern w:val="0"/>
          <w:sz w:val="32"/>
          <w:szCs w:val="32"/>
          <w:shd w:val="clear" w:color="FFFFFF" w:fill="FFFFFF"/>
        </w:rPr>
        <w:t xml:space="preserve">                     </w:t>
      </w:r>
      <w:r>
        <w:rPr>
          <w:rStyle w:val="10"/>
          <w:rFonts w:eastAsia="方正仿宋_GBK"/>
          <w:kern w:val="0"/>
          <w:sz w:val="32"/>
          <w:szCs w:val="32"/>
          <w:shd w:val="clear" w:color="FFFFFF" w:fill="FFFFFF"/>
        </w:rPr>
        <w:t>编号：</w:t>
      </w:r>
      <w:r>
        <w:rPr>
          <w:rFonts w:eastAsia="方正仿宋_GBK"/>
          <w:kern w:val="0"/>
          <w:sz w:val="32"/>
          <w:szCs w:val="32"/>
        </w:rPr>
        <w:t>（年份+四位流水号）</w:t>
      </w:r>
    </w:p>
    <w:tbl>
      <w:tblPr>
        <w:tblStyle w:val="8"/>
        <w:tblW w:w="8170" w:type="dxa"/>
        <w:tblInd w:w="10" w:type="dxa"/>
        <w:tblLayout w:type="fixed"/>
        <w:tblCellMar>
          <w:top w:w="0" w:type="dxa"/>
          <w:left w:w="0" w:type="dxa"/>
          <w:bottom w:w="0" w:type="dxa"/>
          <w:right w:w="0" w:type="dxa"/>
        </w:tblCellMar>
      </w:tblPr>
      <w:tblGrid>
        <w:gridCol w:w="1088"/>
        <w:gridCol w:w="1910"/>
        <w:gridCol w:w="1830"/>
        <w:gridCol w:w="1590"/>
        <w:gridCol w:w="1752"/>
      </w:tblGrid>
      <w:tr>
        <w:tblPrEx>
          <w:tblLayout w:type="fixed"/>
          <w:tblCellMar>
            <w:top w:w="0" w:type="dxa"/>
            <w:left w:w="0" w:type="dxa"/>
            <w:bottom w:w="0" w:type="dxa"/>
            <w:right w:w="0" w:type="dxa"/>
          </w:tblCellMar>
        </w:tblPrEx>
        <w:trPr>
          <w:trHeight w:val="490" w:hRule="atLeast"/>
        </w:trPr>
        <w:tc>
          <w:tcPr>
            <w:tcW w:w="1088"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630" w:lineRule="atLeast"/>
              <w:jc w:val="center"/>
              <w:rPr>
                <w:b/>
              </w:rPr>
            </w:pPr>
            <w:r>
              <w:rPr>
                <w:rStyle w:val="10"/>
                <w:rFonts w:eastAsia="方正仿宋_GBK"/>
                <w:b w:val="0"/>
                <w:kern w:val="0"/>
                <w:sz w:val="32"/>
                <w:szCs w:val="32"/>
              </w:rPr>
              <w:t>申请修复的信用主体</w:t>
            </w: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rPr>
                <w:b/>
              </w:rPr>
            </w:pPr>
            <w:r>
              <w:rPr>
                <w:rStyle w:val="10"/>
                <w:rFonts w:eastAsia="方正仿宋_GBK"/>
                <w:b w:val="0"/>
                <w:kern w:val="0"/>
                <w:sz w:val="32"/>
                <w:szCs w:val="32"/>
              </w:rPr>
              <w:t>申请单位</w:t>
            </w:r>
          </w:p>
        </w:tc>
        <w:tc>
          <w:tcPr>
            <w:tcW w:w="5172"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630" w:lineRule="atLeast"/>
              <w:jc w:val="center"/>
            </w:pPr>
          </w:p>
        </w:tc>
      </w:tr>
      <w:tr>
        <w:tblPrEx>
          <w:tblLayout w:type="fixed"/>
          <w:tblCellMar>
            <w:top w:w="0" w:type="dxa"/>
            <w:left w:w="0" w:type="dxa"/>
            <w:bottom w:w="0" w:type="dxa"/>
            <w:right w:w="0" w:type="dxa"/>
          </w:tblCellMar>
        </w:tblPrEx>
        <w:trPr>
          <w:trHeight w:val="670" w:hRule="atLeast"/>
        </w:trPr>
        <w:tc>
          <w:tcPr>
            <w:tcW w:w="1088"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rPr>
                <w:rStyle w:val="10"/>
                <w:rFonts w:eastAsia="方正仿宋_GBK"/>
                <w:b w:val="0"/>
                <w:kern w:val="0"/>
                <w:sz w:val="32"/>
                <w:szCs w:val="32"/>
              </w:rPr>
            </w:pPr>
            <w:r>
              <w:rPr>
                <w:rStyle w:val="10"/>
                <w:rFonts w:eastAsia="方正仿宋_GBK"/>
                <w:b w:val="0"/>
                <w:kern w:val="0"/>
                <w:sz w:val="32"/>
                <w:szCs w:val="32"/>
              </w:rPr>
              <w:t>统一社会</w:t>
            </w:r>
          </w:p>
          <w:p>
            <w:pPr>
              <w:widowControl/>
              <w:spacing w:line="630" w:lineRule="atLeast"/>
              <w:jc w:val="center"/>
            </w:pPr>
            <w:r>
              <w:rPr>
                <w:rStyle w:val="10"/>
                <w:rFonts w:eastAsia="方正仿宋_GBK"/>
                <w:b w:val="0"/>
                <w:kern w:val="0"/>
                <w:sz w:val="32"/>
                <w:szCs w:val="32"/>
              </w:rPr>
              <w:t>信用代码</w:t>
            </w:r>
          </w:p>
        </w:tc>
        <w:tc>
          <w:tcPr>
            <w:tcW w:w="5172"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630" w:lineRule="atLeast"/>
              <w:jc w:val="center"/>
            </w:pPr>
          </w:p>
        </w:tc>
      </w:tr>
      <w:tr>
        <w:tblPrEx>
          <w:tblLayout w:type="fixed"/>
          <w:tblCellMar>
            <w:top w:w="0" w:type="dxa"/>
            <w:left w:w="0" w:type="dxa"/>
            <w:bottom w:w="0" w:type="dxa"/>
            <w:right w:w="0" w:type="dxa"/>
          </w:tblCellMar>
        </w:tblPrEx>
        <w:trPr>
          <w:trHeight w:val="600" w:hRule="atLeast"/>
        </w:trPr>
        <w:tc>
          <w:tcPr>
            <w:tcW w:w="1088"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pPr>
            <w:r>
              <w:rPr>
                <w:rStyle w:val="10"/>
                <w:rFonts w:eastAsia="方正仿宋_GBK"/>
                <w:b w:val="0"/>
                <w:kern w:val="0"/>
                <w:sz w:val="32"/>
                <w:szCs w:val="32"/>
              </w:rPr>
              <w:t>法定代表人</w:t>
            </w:r>
          </w:p>
        </w:tc>
        <w:tc>
          <w:tcPr>
            <w:tcW w:w="1830"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p>
        </w:tc>
        <w:tc>
          <w:tcPr>
            <w:tcW w:w="1590"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r>
              <w:rPr>
                <w:rFonts w:eastAsia="方正仿宋_GBK"/>
                <w:kern w:val="0"/>
                <w:sz w:val="32"/>
                <w:szCs w:val="32"/>
              </w:rPr>
              <w:t>联系方式</w:t>
            </w:r>
          </w:p>
        </w:tc>
        <w:tc>
          <w:tcPr>
            <w:tcW w:w="1752"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Layout w:type="fixed"/>
          <w:tblCellMar>
            <w:top w:w="0" w:type="dxa"/>
            <w:left w:w="0" w:type="dxa"/>
            <w:bottom w:w="0" w:type="dxa"/>
            <w:right w:w="0" w:type="dxa"/>
          </w:tblCellMar>
        </w:tblPrEx>
        <w:trPr>
          <w:trHeight w:val="650" w:hRule="atLeast"/>
        </w:trPr>
        <w:tc>
          <w:tcPr>
            <w:tcW w:w="1088"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r>
              <w:rPr>
                <w:rStyle w:val="10"/>
                <w:rFonts w:eastAsia="方正仿宋_GBK"/>
                <w:b w:val="0"/>
                <w:kern w:val="0"/>
                <w:sz w:val="32"/>
                <w:szCs w:val="32"/>
              </w:rPr>
              <w:t>申请内容</w:t>
            </w:r>
          </w:p>
        </w:tc>
        <w:tc>
          <w:tcPr>
            <w:tcW w:w="5172"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294" w:lineRule="atLeast"/>
              <w:jc w:val="left"/>
            </w:pPr>
          </w:p>
        </w:tc>
      </w:tr>
      <w:tr>
        <w:tblPrEx>
          <w:tblLayout w:type="fixed"/>
          <w:tblCellMar>
            <w:top w:w="0" w:type="dxa"/>
            <w:left w:w="0" w:type="dxa"/>
            <w:bottom w:w="0" w:type="dxa"/>
            <w:right w:w="0" w:type="dxa"/>
          </w:tblCellMar>
        </w:tblPrEx>
        <w:trPr>
          <w:trHeight w:val="1285" w:hRule="atLeast"/>
        </w:trPr>
        <w:tc>
          <w:tcPr>
            <w:tcW w:w="1088" w:type="dxa"/>
            <w:vMerge w:val="restart"/>
            <w:tcBorders>
              <w:top w:val="single" w:color="000000" w:sz="4" w:space="0"/>
              <w:left w:val="single" w:color="auto" w:sz="8" w:space="0"/>
              <w:bottom w:val="single" w:color="000000" w:sz="4" w:space="0"/>
              <w:right w:val="single" w:color="auto" w:sz="8" w:space="0"/>
            </w:tcBorders>
            <w:noWrap w:val="0"/>
            <w:tcMar>
              <w:top w:w="0" w:type="dxa"/>
              <w:left w:w="108" w:type="dxa"/>
              <w:bottom w:w="0" w:type="dxa"/>
              <w:right w:w="108" w:type="dxa"/>
            </w:tcMar>
            <w:vAlign w:val="center"/>
          </w:tcPr>
          <w:p>
            <w:pPr>
              <w:widowControl/>
              <w:spacing w:line="630" w:lineRule="atLeast"/>
              <w:jc w:val="center"/>
              <w:rPr>
                <w:b/>
              </w:rPr>
            </w:pPr>
            <w:r>
              <w:rPr>
                <w:rStyle w:val="10"/>
                <w:rFonts w:eastAsia="方正仿宋_GBK"/>
                <w:b w:val="0"/>
                <w:kern w:val="0"/>
                <w:sz w:val="32"/>
                <w:szCs w:val="32"/>
              </w:rPr>
              <w:t>统计机构意见</w:t>
            </w:r>
          </w:p>
        </w:tc>
        <w:tc>
          <w:tcPr>
            <w:tcW w:w="1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630" w:lineRule="atLeast"/>
              <w:jc w:val="center"/>
              <w:rPr>
                <w:rStyle w:val="10"/>
                <w:rFonts w:eastAsia="方正仿宋_GBK"/>
                <w:b w:val="0"/>
                <w:kern w:val="0"/>
                <w:sz w:val="32"/>
                <w:szCs w:val="32"/>
              </w:rPr>
            </w:pPr>
            <w:r>
              <w:rPr>
                <w:rStyle w:val="10"/>
                <w:rFonts w:eastAsia="方正仿宋_GBK"/>
                <w:b w:val="0"/>
                <w:kern w:val="0"/>
                <w:sz w:val="32"/>
                <w:szCs w:val="32"/>
              </w:rPr>
              <w:t>修复</w:t>
            </w:r>
          </w:p>
          <w:p>
            <w:pPr>
              <w:widowControl/>
              <w:spacing w:line="630" w:lineRule="atLeast"/>
              <w:jc w:val="center"/>
              <w:rPr>
                <w:b/>
              </w:rPr>
            </w:pPr>
            <w:r>
              <w:rPr>
                <w:rStyle w:val="10"/>
                <w:rFonts w:eastAsia="方正仿宋_GBK"/>
                <w:b w:val="0"/>
                <w:kern w:val="0"/>
                <w:sz w:val="32"/>
                <w:szCs w:val="32"/>
              </w:rPr>
              <w:t>情况</w:t>
            </w:r>
          </w:p>
        </w:tc>
        <w:tc>
          <w:tcPr>
            <w:tcW w:w="5172" w:type="dxa"/>
            <w:gridSpan w:val="3"/>
            <w:tcBorders>
              <w:top w:val="single" w:color="auto" w:sz="8" w:space="0"/>
              <w:left w:val="single" w:color="auto" w:sz="8" w:space="0"/>
              <w:bottom w:val="single" w:color="000000" w:sz="4" w:space="0"/>
              <w:right w:val="single" w:color="000000" w:sz="4" w:space="0"/>
            </w:tcBorders>
            <w:noWrap w:val="0"/>
            <w:tcMar>
              <w:top w:w="0" w:type="dxa"/>
              <w:left w:w="540" w:type="dxa"/>
              <w:bottom w:w="0" w:type="dxa"/>
              <w:right w:w="108" w:type="dxa"/>
            </w:tcMar>
            <w:vAlign w:val="center"/>
          </w:tcPr>
          <w:p>
            <w:pPr>
              <w:widowControl/>
              <w:spacing w:line="630" w:lineRule="atLeast"/>
              <w:jc w:val="left"/>
            </w:pPr>
            <w:r>
              <w:rPr>
                <w:rFonts w:eastAsia="方正仿宋_GBK"/>
                <w:kern w:val="0"/>
                <w:sz w:val="32"/>
                <w:szCs w:val="32"/>
              </w:rPr>
              <w:t xml:space="preserve">      </w:t>
            </w:r>
          </w:p>
          <w:p>
            <w:pPr>
              <w:widowControl/>
              <w:spacing w:line="630" w:lineRule="atLeast"/>
              <w:jc w:val="left"/>
            </w:pPr>
          </w:p>
          <w:p>
            <w:pPr>
              <w:widowControl/>
              <w:spacing w:line="630" w:lineRule="atLeast"/>
              <w:jc w:val="left"/>
            </w:pPr>
          </w:p>
          <w:p>
            <w:pPr>
              <w:widowControl/>
              <w:spacing w:line="630" w:lineRule="atLeast"/>
              <w:jc w:val="left"/>
            </w:pPr>
          </w:p>
          <w:p>
            <w:pPr>
              <w:widowControl/>
              <w:spacing w:line="630" w:lineRule="atLeast"/>
              <w:jc w:val="left"/>
            </w:pPr>
          </w:p>
        </w:tc>
      </w:tr>
      <w:tr>
        <w:tblPrEx>
          <w:tblLayout w:type="fixed"/>
          <w:tblCellMar>
            <w:top w:w="0" w:type="dxa"/>
            <w:left w:w="0" w:type="dxa"/>
            <w:bottom w:w="0" w:type="dxa"/>
            <w:right w:w="0" w:type="dxa"/>
          </w:tblCellMar>
        </w:tblPrEx>
        <w:trPr>
          <w:trHeight w:val="3381" w:hRule="atLeast"/>
        </w:trPr>
        <w:tc>
          <w:tcPr>
            <w:tcW w:w="1088" w:type="dxa"/>
            <w:vMerge w:val="continue"/>
            <w:tcBorders>
              <w:top w:val="single" w:color="000000" w:sz="4"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540" w:type="dxa"/>
            </w:tcMar>
            <w:vAlign w:val="center"/>
          </w:tcPr>
          <w:p>
            <w:pPr>
              <w:widowControl/>
              <w:spacing w:line="294" w:lineRule="atLeast"/>
              <w:jc w:val="center"/>
            </w:pPr>
          </w:p>
          <w:p>
            <w:pPr>
              <w:widowControl/>
              <w:spacing w:line="294" w:lineRule="atLeast"/>
              <w:jc w:val="center"/>
              <w:rPr>
                <w:rStyle w:val="10"/>
                <w:rFonts w:eastAsia="方正仿宋_GBK"/>
                <w:b w:val="0"/>
                <w:kern w:val="0"/>
                <w:sz w:val="32"/>
                <w:szCs w:val="32"/>
              </w:rPr>
            </w:pPr>
            <w:r>
              <w:rPr>
                <w:rStyle w:val="10"/>
                <w:rFonts w:eastAsia="方正仿宋_GBK"/>
                <w:b w:val="0"/>
                <w:kern w:val="0"/>
                <w:sz w:val="32"/>
                <w:szCs w:val="32"/>
              </w:rPr>
              <w:t>修复</w:t>
            </w:r>
          </w:p>
          <w:p>
            <w:pPr>
              <w:widowControl/>
              <w:spacing w:line="294" w:lineRule="atLeast"/>
              <w:jc w:val="center"/>
            </w:pPr>
            <w:r>
              <w:rPr>
                <w:rStyle w:val="10"/>
                <w:rFonts w:eastAsia="方正仿宋_GBK"/>
                <w:b w:val="0"/>
                <w:kern w:val="0"/>
                <w:sz w:val="32"/>
                <w:szCs w:val="32"/>
              </w:rPr>
              <w:t>处理</w:t>
            </w:r>
          </w:p>
          <w:p>
            <w:pPr>
              <w:widowControl/>
              <w:spacing w:line="294" w:lineRule="atLeast"/>
              <w:jc w:val="center"/>
            </w:pPr>
            <w:r>
              <w:rPr>
                <w:rStyle w:val="10"/>
                <w:rFonts w:eastAsia="方正仿宋_GBK"/>
                <w:b w:val="0"/>
                <w:kern w:val="0"/>
                <w:sz w:val="32"/>
                <w:szCs w:val="32"/>
              </w:rPr>
              <w:t>意见</w:t>
            </w:r>
          </w:p>
          <w:p>
            <w:pPr>
              <w:widowControl/>
              <w:spacing w:line="294" w:lineRule="atLeast"/>
              <w:jc w:val="right"/>
            </w:pPr>
            <w:r>
              <w:rPr>
                <w:rFonts w:eastAsia="方正仿宋_GBK"/>
                <w:kern w:val="0"/>
                <w:sz w:val="32"/>
                <w:szCs w:val="32"/>
              </w:rPr>
              <w:t xml:space="preserve">        </w:t>
            </w:r>
          </w:p>
        </w:tc>
        <w:tc>
          <w:tcPr>
            <w:tcW w:w="5172" w:type="dxa"/>
            <w:gridSpan w:val="3"/>
            <w:tcBorders>
              <w:top w:val="single" w:color="000000" w:sz="4" w:space="0"/>
              <w:left w:val="single" w:color="auto" w:sz="8" w:space="0"/>
              <w:bottom w:val="single" w:color="000000" w:sz="4" w:space="0"/>
              <w:right w:val="single" w:color="auto" w:sz="8" w:space="0"/>
            </w:tcBorders>
            <w:noWrap w:val="0"/>
            <w:tcMar>
              <w:top w:w="0" w:type="dxa"/>
              <w:left w:w="108" w:type="dxa"/>
              <w:bottom w:w="0" w:type="dxa"/>
              <w:right w:w="108" w:type="dxa"/>
            </w:tcMar>
            <w:vAlign w:val="center"/>
          </w:tcPr>
          <w:p>
            <w:pPr>
              <w:widowControl/>
              <w:tabs>
                <w:tab w:val="left" w:pos="980"/>
              </w:tabs>
              <w:spacing w:line="294" w:lineRule="atLeast"/>
              <w:ind w:firstLine="1680" w:firstLineChars="800"/>
              <w:jc w:val="right"/>
            </w:pPr>
          </w:p>
          <w:p>
            <w:pPr>
              <w:tabs>
                <w:tab w:val="left" w:pos="980"/>
              </w:tabs>
              <w:ind w:firstLine="1680" w:firstLineChars="800"/>
            </w:pPr>
          </w:p>
          <w:p>
            <w:pPr>
              <w:tabs>
                <w:tab w:val="left" w:pos="980"/>
              </w:tabs>
              <w:spacing w:line="520" w:lineRule="exact"/>
              <w:ind w:firstLine="1680" w:firstLineChars="800"/>
              <w:jc w:val="center"/>
            </w:pPr>
          </w:p>
          <w:p>
            <w:pPr>
              <w:tabs>
                <w:tab w:val="left" w:pos="980"/>
              </w:tabs>
              <w:spacing w:line="520" w:lineRule="exact"/>
              <w:ind w:firstLine="1680" w:firstLineChars="800"/>
              <w:jc w:val="center"/>
            </w:pPr>
          </w:p>
          <w:p>
            <w:pPr>
              <w:widowControl/>
              <w:tabs>
                <w:tab w:val="left" w:pos="980"/>
              </w:tabs>
              <w:spacing w:line="294" w:lineRule="atLeast"/>
              <w:ind w:firstLine="1680" w:firstLineChars="800"/>
              <w:jc w:val="center"/>
            </w:pPr>
            <w:r>
              <w:tab/>
            </w:r>
            <w:r>
              <w:rPr>
                <w:rFonts w:eastAsia="方正仿宋_GBK"/>
                <w:kern w:val="0"/>
                <w:sz w:val="32"/>
                <w:szCs w:val="32"/>
              </w:rPr>
              <w:t xml:space="preserve">        XX统计局（盖章） </w:t>
            </w:r>
          </w:p>
          <w:p>
            <w:pPr>
              <w:tabs>
                <w:tab w:val="left" w:pos="980"/>
              </w:tabs>
              <w:ind w:firstLine="2560" w:firstLineChars="800"/>
              <w:jc w:val="left"/>
            </w:pPr>
            <w:r>
              <w:rPr>
                <w:rFonts w:eastAsia="方正仿宋_GBK"/>
                <w:kern w:val="0"/>
                <w:sz w:val="32"/>
                <w:szCs w:val="32"/>
              </w:rPr>
              <w:t xml:space="preserve">年   月   日 </w:t>
            </w:r>
          </w:p>
        </w:tc>
      </w:tr>
    </w:tbl>
    <w:p>
      <w:pPr>
        <w:rPr>
          <w:rFonts w:eastAsia="方正黑体_GBK"/>
          <w:kern w:val="0"/>
          <w:sz w:val="32"/>
          <w:szCs w:val="32"/>
          <w:shd w:val="clear" w:color="FFFFFF" w:fill="FFFFFF"/>
        </w:rPr>
      </w:pPr>
      <w:r>
        <w:rPr>
          <w:rFonts w:eastAsia="方正黑体_GBK"/>
          <w:kern w:val="0"/>
          <w:sz w:val="32"/>
          <w:szCs w:val="32"/>
          <w:shd w:val="clear" w:color="FFFFFF" w:fill="FFFFFF"/>
        </w:rPr>
        <w:br w:type="page"/>
      </w:r>
    </w:p>
    <w:p>
      <w:pPr>
        <w:widowControl/>
        <w:spacing w:line="630" w:lineRule="atLeast"/>
        <w:jc w:val="left"/>
      </w:pPr>
      <w:r>
        <w:rPr>
          <w:rFonts w:eastAsia="方正黑体_GBK"/>
          <w:kern w:val="0"/>
          <w:sz w:val="32"/>
          <w:szCs w:val="32"/>
          <w:shd w:val="clear" w:color="FFFFFF" w:fill="FFFFFF"/>
        </w:rPr>
        <w:t>附件3</w:t>
      </w:r>
    </w:p>
    <w:p>
      <w:pPr>
        <w:widowControl/>
        <w:spacing w:line="630" w:lineRule="atLeast"/>
        <w:jc w:val="left"/>
      </w:pPr>
    </w:p>
    <w:p>
      <w:pPr>
        <w:widowControl/>
        <w:spacing w:line="630" w:lineRule="atLeast"/>
        <w:jc w:val="center"/>
        <w:rPr>
          <w:b/>
        </w:rPr>
      </w:pPr>
      <w:r>
        <w:rPr>
          <w:rStyle w:val="10"/>
          <w:rFonts w:eastAsia="方正小标宋_GBK"/>
          <w:b w:val="0"/>
          <w:kern w:val="0"/>
          <w:sz w:val="44"/>
          <w:szCs w:val="44"/>
          <w:shd w:val="clear" w:color="FFFFFF" w:fill="FFFFFF"/>
        </w:rPr>
        <w:t>不予信用修复告知书</w:t>
      </w:r>
    </w:p>
    <w:p>
      <w:pPr>
        <w:widowControl/>
        <w:spacing w:line="630" w:lineRule="atLeast"/>
        <w:jc w:val="center"/>
      </w:pPr>
      <w:r>
        <w:rPr>
          <w:rStyle w:val="10"/>
          <w:rFonts w:eastAsia="方正仿宋_GBK"/>
          <w:b w:val="0"/>
          <w:bCs w:val="0"/>
          <w:kern w:val="0"/>
          <w:sz w:val="32"/>
          <w:szCs w:val="32"/>
          <w:shd w:val="clear" w:color="FFFFFF" w:fill="FFFFFF"/>
        </w:rPr>
        <w:t xml:space="preserve">                     </w:t>
      </w:r>
      <w:r>
        <w:rPr>
          <w:rFonts w:eastAsia="方正仿宋_GBK"/>
          <w:kern w:val="0"/>
          <w:sz w:val="32"/>
          <w:szCs w:val="32"/>
        </w:rPr>
        <w:t>编号：（年份+四位流水号）</w:t>
      </w:r>
      <w:r>
        <w:rPr>
          <w:rStyle w:val="10"/>
          <w:rFonts w:eastAsia="方正仿宋_GBK"/>
          <w:b w:val="0"/>
          <w:bCs w:val="0"/>
          <w:kern w:val="0"/>
          <w:sz w:val="32"/>
          <w:szCs w:val="32"/>
          <w:shd w:val="clear" w:color="FFFFFF" w:fill="FFFFFF"/>
        </w:rPr>
        <w:t xml:space="preserve">          </w:t>
      </w:r>
    </w:p>
    <w:p>
      <w:pPr>
        <w:widowControl/>
        <w:spacing w:line="630" w:lineRule="atLeast"/>
      </w:pPr>
      <w:r>
        <w:rPr>
          <w:rFonts w:eastAsia="方正仿宋_GBK"/>
          <w:kern w:val="0"/>
          <w:sz w:val="32"/>
          <w:szCs w:val="32"/>
          <w:u w:val="single"/>
          <w:shd w:val="clear" w:color="FFFFFF" w:fill="FFFFFF"/>
        </w:rPr>
        <w:t xml:space="preserve">                             </w:t>
      </w:r>
      <w:r>
        <w:rPr>
          <w:rFonts w:eastAsia="方正仿宋_GBK"/>
          <w:kern w:val="0"/>
          <w:sz w:val="32"/>
          <w:szCs w:val="32"/>
          <w:shd w:val="clear" w:color="FFFFFF" w:fill="FFFFFF"/>
        </w:rPr>
        <w:t xml:space="preserve">：    </w:t>
      </w:r>
    </w:p>
    <w:p>
      <w:pPr>
        <w:widowControl/>
        <w:spacing w:line="630" w:lineRule="atLeast"/>
        <w:ind w:firstLine="640" w:firstLineChars="200"/>
      </w:pPr>
      <w:r>
        <w:rPr>
          <w:rFonts w:eastAsia="方正仿宋_GBK"/>
          <w:kern w:val="0"/>
          <w:sz w:val="32"/>
          <w:szCs w:val="32"/>
          <w:shd w:val="clear" w:color="FFFFFF" w:fill="FFFFFF"/>
        </w:rPr>
        <w:t>你（单位）于    年   月   日提交的企业统计信用修</w:t>
      </w:r>
      <w:r>
        <w:rPr>
          <w:rFonts w:eastAsia="方正仿宋_GBK"/>
          <w:sz w:val="32"/>
          <w:szCs w:val="32"/>
        </w:rPr>
        <w:t>复申请，</w:t>
      </w:r>
      <w:r>
        <w:rPr>
          <w:rFonts w:eastAsia="方正仿宋_GBK"/>
          <w:kern w:val="0"/>
          <w:sz w:val="32"/>
          <w:szCs w:val="32"/>
          <w:shd w:val="clear" w:color="FFFFFF" w:fill="FFFFFF"/>
        </w:rPr>
        <w:t>经审查，不符合《重庆市企业统计信用管理</w:t>
      </w:r>
      <w:r>
        <w:rPr>
          <w:rFonts w:eastAsia="方正仿宋_GBK"/>
          <w:kern w:val="0"/>
          <w:sz w:val="32"/>
          <w:szCs w:val="32"/>
        </w:rPr>
        <w:t>办法</w:t>
      </w:r>
      <w:r>
        <w:rPr>
          <w:rFonts w:eastAsia="方正仿宋_GBK"/>
          <w:kern w:val="0"/>
          <w:sz w:val="32"/>
          <w:szCs w:val="32"/>
          <w:shd w:val="clear" w:color="FFFFFF" w:fill="FFFFFF"/>
        </w:rPr>
        <w:t>》</w:t>
      </w:r>
      <w:r>
        <w:rPr>
          <w:rFonts w:eastAsia="方正仿宋_GBK"/>
          <w:kern w:val="0"/>
          <w:sz w:val="32"/>
          <w:szCs w:val="32"/>
          <w:u w:val="single"/>
          <w:shd w:val="clear" w:color="FFFFFF" w:fill="FFFFFF"/>
        </w:rPr>
        <w:t xml:space="preserve">                              </w:t>
      </w:r>
      <w:r>
        <w:rPr>
          <w:rFonts w:eastAsia="方正仿宋_GBK"/>
          <w:kern w:val="0"/>
          <w:sz w:val="32"/>
          <w:szCs w:val="32"/>
          <w:shd w:val="clear" w:color="FFFFFF" w:fill="FFFFFF"/>
        </w:rPr>
        <w:t>，决定不予信用修复。</w:t>
      </w:r>
    </w:p>
    <w:p>
      <w:pPr>
        <w:widowControl/>
        <w:spacing w:line="294" w:lineRule="atLeast"/>
        <w:jc w:val="left"/>
      </w:pPr>
    </w:p>
    <w:p>
      <w:pPr>
        <w:widowControl/>
        <w:spacing w:line="294" w:lineRule="atLeast"/>
        <w:jc w:val="left"/>
      </w:pPr>
    </w:p>
    <w:p>
      <w:pPr>
        <w:widowControl/>
        <w:spacing w:line="294" w:lineRule="atLeast"/>
        <w:jc w:val="left"/>
      </w:pPr>
    </w:p>
    <w:p>
      <w:pPr>
        <w:widowControl/>
        <w:wordWrap w:val="0"/>
        <w:spacing w:line="630" w:lineRule="atLeast"/>
        <w:ind w:firstLine="420"/>
        <w:jc w:val="right"/>
      </w:pPr>
      <w:r>
        <w:rPr>
          <w:rFonts w:eastAsia="方正仿宋_GBK"/>
          <w:kern w:val="0"/>
          <w:sz w:val="32"/>
          <w:szCs w:val="32"/>
        </w:rPr>
        <w:t xml:space="preserve">  XX统计局</w:t>
      </w:r>
      <w:r>
        <w:rPr>
          <w:rFonts w:eastAsia="方正仿宋_GBK"/>
          <w:kern w:val="0"/>
          <w:sz w:val="32"/>
          <w:szCs w:val="32"/>
          <w:shd w:val="clear" w:color="FFFFFF" w:fill="FFFFFF"/>
        </w:rPr>
        <w:t>（</w:t>
      </w:r>
      <w:r>
        <w:rPr>
          <w:rFonts w:eastAsia="方正仿宋_GBK"/>
          <w:kern w:val="0"/>
          <w:sz w:val="32"/>
          <w:szCs w:val="32"/>
        </w:rPr>
        <w:t>盖章</w:t>
      </w:r>
      <w:r>
        <w:rPr>
          <w:rFonts w:eastAsia="方正仿宋_GBK"/>
          <w:kern w:val="0"/>
          <w:sz w:val="32"/>
          <w:szCs w:val="32"/>
          <w:shd w:val="clear" w:color="FFFFFF" w:fill="FFFFFF"/>
        </w:rPr>
        <w:t xml:space="preserve">） </w:t>
      </w:r>
    </w:p>
    <w:p>
      <w:pPr>
        <w:widowControl/>
        <w:wordWrap w:val="0"/>
        <w:spacing w:line="630" w:lineRule="atLeast"/>
        <w:ind w:firstLine="420"/>
        <w:jc w:val="center"/>
      </w:pPr>
      <w:r>
        <w:rPr>
          <w:rFonts w:eastAsia="方正仿宋_GBK"/>
          <w:kern w:val="0"/>
          <w:sz w:val="32"/>
          <w:szCs w:val="32"/>
          <w:shd w:val="clear" w:color="FFFFFF" w:fill="FFFFFF"/>
        </w:rPr>
        <w:t xml:space="preserve">                        年    月    日</w:t>
      </w:r>
    </w:p>
    <w:p>
      <w:pPr>
        <w:widowControl/>
        <w:spacing w:line="294" w:lineRule="atLeast"/>
        <w:jc w:val="left"/>
      </w:pPr>
    </w:p>
    <w:p/>
    <w:p/>
    <w:p>
      <w:pPr>
        <w:pStyle w:val="4"/>
      </w:pPr>
    </w:p>
    <w:p>
      <w:pPr>
        <w:pStyle w:val="4"/>
      </w:pPr>
    </w:p>
    <w:p>
      <w:pPr>
        <w:pStyle w:val="4"/>
      </w:pPr>
    </w:p>
    <w:p>
      <w:pPr>
        <w:pStyle w:val="4"/>
      </w:pPr>
    </w:p>
    <w:p>
      <w:pPr>
        <w:pStyle w:val="4"/>
      </w:pPr>
    </w:p>
    <w:p>
      <w:pPr>
        <w:pStyle w:val="4"/>
      </w:pPr>
    </w:p>
    <w:p>
      <w:pPr>
        <w:pStyle w:val="4"/>
      </w:pPr>
    </w:p>
    <w:p/>
    <w:p>
      <w:pPr>
        <w:spacing w:line="594" w:lineRule="exact"/>
      </w:pPr>
    </w:p>
    <w:p/>
    <w:p>
      <w:pPr>
        <w:widowControl/>
        <w:spacing w:line="630" w:lineRule="atLeast"/>
        <w:jc w:val="left"/>
      </w:pPr>
      <w:r>
        <w:rPr>
          <w:rFonts w:eastAsia="方正黑体_GBK"/>
          <w:kern w:val="0"/>
          <w:sz w:val="32"/>
          <w:szCs w:val="32"/>
          <w:shd w:val="clear" w:color="FFFFFF" w:fill="FFFFFF"/>
        </w:rPr>
        <w:br w:type="page"/>
      </w:r>
      <w:r>
        <w:rPr>
          <w:rFonts w:eastAsia="方正黑体_GBK"/>
          <w:kern w:val="0"/>
          <w:sz w:val="32"/>
          <w:szCs w:val="32"/>
          <w:shd w:val="clear" w:color="FFFFFF" w:fill="FFFFFF"/>
        </w:rPr>
        <w:t>附件4</w:t>
      </w:r>
    </w:p>
    <w:p>
      <w:pPr>
        <w:widowControl/>
        <w:spacing w:line="630" w:lineRule="atLeast"/>
        <w:jc w:val="center"/>
      </w:pPr>
      <w:r>
        <w:rPr>
          <w:rStyle w:val="10"/>
          <w:rFonts w:eastAsia="方正小标宋_GBK"/>
          <w:b w:val="0"/>
          <w:kern w:val="0"/>
          <w:sz w:val="44"/>
          <w:szCs w:val="44"/>
          <w:shd w:val="clear" w:color="FFFFFF" w:fill="FFFFFF"/>
        </w:rPr>
        <w:t>企业统计信用异议信息处理申请表</w:t>
      </w:r>
    </w:p>
    <w:tbl>
      <w:tblPr>
        <w:tblStyle w:val="8"/>
        <w:tblW w:w="8354" w:type="dxa"/>
        <w:jc w:val="center"/>
        <w:tblInd w:w="-5" w:type="dxa"/>
        <w:tblLayout w:type="fixed"/>
        <w:tblCellMar>
          <w:top w:w="0" w:type="dxa"/>
          <w:left w:w="0" w:type="dxa"/>
          <w:bottom w:w="0" w:type="dxa"/>
          <w:right w:w="0" w:type="dxa"/>
        </w:tblCellMar>
      </w:tblPr>
      <w:tblGrid>
        <w:gridCol w:w="2060"/>
        <w:gridCol w:w="1838"/>
        <w:gridCol w:w="1437"/>
        <w:gridCol w:w="3019"/>
      </w:tblGrid>
      <w:tr>
        <w:tblPrEx>
          <w:tblLayout w:type="fixed"/>
          <w:tblCellMar>
            <w:top w:w="0" w:type="dxa"/>
            <w:left w:w="0" w:type="dxa"/>
            <w:bottom w:w="0" w:type="dxa"/>
            <w:right w:w="0" w:type="dxa"/>
          </w:tblCellMar>
        </w:tblPrEx>
        <w:trPr>
          <w:trHeight w:val="1090" w:hRule="atLeast"/>
          <w:jc w:val="center"/>
        </w:trPr>
        <w:tc>
          <w:tcPr>
            <w:tcW w:w="20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申请单位</w:t>
            </w:r>
          </w:p>
        </w:tc>
        <w:tc>
          <w:tcPr>
            <w:tcW w:w="6294"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294" w:lineRule="atLeast"/>
              <w:jc w:val="left"/>
            </w:pPr>
          </w:p>
        </w:tc>
      </w:tr>
      <w:tr>
        <w:tblPrEx>
          <w:tblLayout w:type="fixed"/>
          <w:tblCellMar>
            <w:top w:w="0" w:type="dxa"/>
            <w:left w:w="0" w:type="dxa"/>
            <w:bottom w:w="0" w:type="dxa"/>
            <w:right w:w="0" w:type="dxa"/>
          </w:tblCellMar>
        </w:tblPrEx>
        <w:trPr>
          <w:trHeight w:val="550" w:hRule="atLeast"/>
          <w:jc w:val="center"/>
        </w:trPr>
        <w:tc>
          <w:tcPr>
            <w:tcW w:w="20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联系人</w:t>
            </w:r>
          </w:p>
        </w:tc>
        <w:tc>
          <w:tcPr>
            <w:tcW w:w="1838"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c>
          <w:tcPr>
            <w:tcW w:w="1437"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r>
              <w:rPr>
                <w:rStyle w:val="10"/>
                <w:rFonts w:eastAsia="方正仿宋_GBK"/>
                <w:b w:val="0"/>
                <w:bCs w:val="0"/>
                <w:kern w:val="0"/>
                <w:sz w:val="32"/>
                <w:szCs w:val="32"/>
              </w:rPr>
              <w:t>联系方式</w:t>
            </w:r>
          </w:p>
        </w:tc>
        <w:tc>
          <w:tcPr>
            <w:tcW w:w="3019"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Layout w:type="fixed"/>
          <w:tblCellMar>
            <w:top w:w="0" w:type="dxa"/>
            <w:left w:w="0" w:type="dxa"/>
            <w:bottom w:w="0" w:type="dxa"/>
            <w:right w:w="0" w:type="dxa"/>
          </w:tblCellMar>
        </w:tblPrEx>
        <w:trPr>
          <w:trHeight w:val="720" w:hRule="atLeast"/>
          <w:jc w:val="center"/>
        </w:trPr>
        <w:tc>
          <w:tcPr>
            <w:tcW w:w="2060" w:type="dxa"/>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异议信息描述</w:t>
            </w:r>
          </w:p>
        </w:tc>
        <w:tc>
          <w:tcPr>
            <w:tcW w:w="6294" w:type="dxa"/>
            <w:gridSpan w:val="3"/>
            <w:tcBorders>
              <w:top w:val="single" w:color="auto" w:sz="8" w:space="0"/>
              <w:left w:val="single" w:color="auto" w:sz="8" w:space="0"/>
              <w:bottom w:val="single" w:color="auto" w:sz="4" w:space="0"/>
              <w:right w:val="single" w:color="000000" w:sz="4" w:space="0"/>
            </w:tcBorders>
            <w:noWrap w:val="0"/>
            <w:tcMar>
              <w:top w:w="0" w:type="dxa"/>
              <w:left w:w="0" w:type="dxa"/>
              <w:bottom w:w="0" w:type="dxa"/>
              <w:right w:w="0" w:type="dxa"/>
            </w:tcMar>
            <w:vAlign w:val="center"/>
          </w:tcPr>
          <w:p>
            <w:pPr>
              <w:widowControl/>
              <w:spacing w:line="294" w:lineRule="atLeast"/>
              <w:jc w:val="left"/>
            </w:pPr>
          </w:p>
        </w:tc>
      </w:tr>
      <w:tr>
        <w:tblPrEx>
          <w:tblLayout w:type="fixed"/>
          <w:tblCellMar>
            <w:top w:w="0" w:type="dxa"/>
            <w:left w:w="0" w:type="dxa"/>
            <w:bottom w:w="0" w:type="dxa"/>
            <w:right w:w="0" w:type="dxa"/>
          </w:tblCellMar>
        </w:tblPrEx>
        <w:trPr>
          <w:trHeight w:val="2262" w:hRule="atLeast"/>
          <w:jc w:val="center"/>
        </w:trPr>
        <w:tc>
          <w:tcPr>
            <w:tcW w:w="2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94" w:lineRule="atLeast"/>
              <w:jc w:val="center"/>
              <w:rPr>
                <w:rStyle w:val="10"/>
                <w:rFonts w:eastAsia="方正仿宋_GBK"/>
                <w:b w:val="0"/>
                <w:bCs w:val="0"/>
                <w:kern w:val="0"/>
                <w:sz w:val="32"/>
                <w:szCs w:val="32"/>
              </w:rPr>
            </w:pPr>
            <w:r>
              <w:rPr>
                <w:rStyle w:val="10"/>
                <w:rFonts w:eastAsia="方正仿宋_GBK"/>
                <w:b w:val="0"/>
                <w:bCs w:val="0"/>
                <w:kern w:val="0"/>
                <w:sz w:val="32"/>
                <w:szCs w:val="32"/>
              </w:rPr>
              <w:t>申请理由</w:t>
            </w:r>
          </w:p>
          <w:p>
            <w:pPr>
              <w:widowControl/>
              <w:spacing w:line="294" w:lineRule="atLeast"/>
              <w:jc w:val="center"/>
            </w:pPr>
            <w:r>
              <w:rPr>
                <w:rStyle w:val="10"/>
                <w:rFonts w:eastAsia="方正仿宋_GBK"/>
                <w:b w:val="0"/>
                <w:bCs w:val="0"/>
                <w:kern w:val="0"/>
                <w:sz w:val="32"/>
                <w:szCs w:val="32"/>
              </w:rPr>
              <w:t>（可附页）</w:t>
            </w:r>
          </w:p>
        </w:tc>
        <w:tc>
          <w:tcPr>
            <w:tcW w:w="629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94" w:lineRule="atLeast"/>
              <w:jc w:val="right"/>
            </w:pPr>
          </w:p>
          <w:p>
            <w:pPr>
              <w:widowControl/>
              <w:spacing w:line="294" w:lineRule="atLeast"/>
              <w:jc w:val="right"/>
            </w:pPr>
          </w:p>
          <w:p>
            <w:pPr>
              <w:widowControl/>
              <w:spacing w:line="294" w:lineRule="atLeast"/>
              <w:jc w:val="right"/>
            </w:pPr>
            <w:r>
              <w:rPr>
                <w:rFonts w:eastAsia="方正仿宋_GBK"/>
                <w:kern w:val="0"/>
                <w:sz w:val="32"/>
                <w:szCs w:val="32"/>
              </w:rPr>
              <w:t xml:space="preserve">年     月   日 </w:t>
            </w:r>
          </w:p>
          <w:p>
            <w:pPr>
              <w:widowControl/>
              <w:spacing w:line="294" w:lineRule="atLeast"/>
              <w:jc w:val="right"/>
            </w:pPr>
            <w:r>
              <w:rPr>
                <w:rFonts w:eastAsia="方正仿宋_GBK"/>
                <w:kern w:val="0"/>
                <w:sz w:val="32"/>
                <w:szCs w:val="32"/>
              </w:rPr>
              <w:t>（盖章）</w:t>
            </w:r>
          </w:p>
        </w:tc>
      </w:tr>
      <w:tr>
        <w:tblPrEx>
          <w:tblLayout w:type="fixed"/>
          <w:tblCellMar>
            <w:top w:w="0" w:type="dxa"/>
            <w:left w:w="0" w:type="dxa"/>
            <w:bottom w:w="0" w:type="dxa"/>
            <w:right w:w="0" w:type="dxa"/>
          </w:tblCellMar>
        </w:tblPrEx>
        <w:trPr>
          <w:trHeight w:val="3090" w:hRule="atLeast"/>
          <w:jc w:val="center"/>
        </w:trPr>
        <w:tc>
          <w:tcPr>
            <w:tcW w:w="20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94" w:lineRule="atLeast"/>
              <w:jc w:val="center"/>
            </w:pPr>
            <w:r>
              <w:rPr>
                <w:rStyle w:val="10"/>
                <w:rFonts w:eastAsia="方正仿宋_GBK"/>
                <w:b w:val="0"/>
                <w:bCs w:val="0"/>
                <w:kern w:val="0"/>
                <w:sz w:val="32"/>
                <w:szCs w:val="32"/>
              </w:rPr>
              <w:t>信用承诺</w:t>
            </w:r>
          </w:p>
        </w:tc>
        <w:tc>
          <w:tcPr>
            <w:tcW w:w="6294" w:type="dxa"/>
            <w:gridSpan w:val="3"/>
            <w:tcBorders>
              <w:top w:val="single" w:color="auto" w:sz="4" w:space="0"/>
              <w:left w:val="single" w:color="auto" w:sz="4" w:space="0"/>
              <w:bottom w:val="single" w:color="auto" w:sz="4" w:space="0"/>
              <w:right w:val="single" w:color="auto" w:sz="4" w:space="0"/>
            </w:tcBorders>
            <w:noWrap w:val="0"/>
            <w:tcMar>
              <w:top w:w="0" w:type="dxa"/>
              <w:left w:w="540" w:type="dxa"/>
              <w:bottom w:w="0" w:type="dxa"/>
              <w:right w:w="108" w:type="dxa"/>
            </w:tcMar>
            <w:vAlign w:val="center"/>
          </w:tcPr>
          <w:p>
            <w:pPr>
              <w:widowControl/>
              <w:spacing w:line="294" w:lineRule="atLeast"/>
              <w:ind w:firstLine="640" w:firstLineChars="200"/>
              <w:jc w:val="left"/>
            </w:pPr>
            <w:r>
              <w:rPr>
                <w:rFonts w:eastAsia="方正仿宋_GBK"/>
                <w:kern w:val="0"/>
                <w:sz w:val="32"/>
                <w:szCs w:val="32"/>
              </w:rPr>
              <w:t>本人承诺所填写内容和提交的相关材料真实准确，否则由此产生的相应后果自负。</w:t>
            </w:r>
          </w:p>
          <w:p>
            <w:pPr>
              <w:widowControl/>
              <w:spacing w:line="294" w:lineRule="atLeast"/>
              <w:ind w:firstLine="1920" w:firstLineChars="600"/>
              <w:jc w:val="left"/>
            </w:pPr>
            <w:r>
              <w:rPr>
                <w:rFonts w:eastAsia="方正仿宋_GBK"/>
                <w:kern w:val="0"/>
                <w:sz w:val="32"/>
                <w:szCs w:val="32"/>
              </w:rPr>
              <w:t>签字：        （盖章）</w:t>
            </w:r>
          </w:p>
        </w:tc>
      </w:tr>
      <w:tr>
        <w:tblPrEx>
          <w:tblLayout w:type="fixed"/>
          <w:tblCellMar>
            <w:top w:w="0" w:type="dxa"/>
            <w:left w:w="0" w:type="dxa"/>
            <w:bottom w:w="0" w:type="dxa"/>
            <w:right w:w="0" w:type="dxa"/>
          </w:tblCellMar>
        </w:tblPrEx>
        <w:trPr>
          <w:trHeight w:val="281" w:hRule="atLeast"/>
          <w:jc w:val="center"/>
        </w:trPr>
        <w:tc>
          <w:tcPr>
            <w:tcW w:w="835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以下内容由统计机构填写</w:t>
            </w:r>
          </w:p>
        </w:tc>
      </w:tr>
      <w:tr>
        <w:tblPrEx>
          <w:tblLayout w:type="fixed"/>
          <w:tblCellMar>
            <w:top w:w="0" w:type="dxa"/>
            <w:left w:w="0" w:type="dxa"/>
            <w:bottom w:w="0" w:type="dxa"/>
            <w:right w:w="0" w:type="dxa"/>
          </w:tblCellMar>
        </w:tblPrEx>
        <w:trPr>
          <w:trHeight w:val="1238" w:hRule="atLeast"/>
          <w:jc w:val="center"/>
        </w:trPr>
        <w:tc>
          <w:tcPr>
            <w:tcW w:w="835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1540"/>
              </w:tabs>
              <w:spacing w:line="294" w:lineRule="atLeast"/>
              <w:ind w:firstLine="840" w:firstLineChars="300"/>
              <w:jc w:val="left"/>
            </w:pPr>
            <w:r>
              <w:rPr>
                <w:rFonts w:eastAsia="方正仿宋_GBK"/>
                <w:kern w:val="0"/>
                <w:sz w:val="28"/>
              </w:rPr>
              <w:t>经核对</w:t>
            </w:r>
            <w:r>
              <w:rPr>
                <w:rFonts w:eastAsia="方正仿宋_GBK"/>
                <w:kern w:val="0"/>
                <w:sz w:val="32"/>
                <w:szCs w:val="32"/>
              </w:rPr>
              <w:t>，</w:t>
            </w:r>
            <w:r>
              <w:rPr>
                <w:rFonts w:eastAsia="方正仿宋_GBK"/>
                <w:kern w:val="0"/>
                <w:sz w:val="28"/>
              </w:rPr>
              <w:t xml:space="preserve">申报单位提交 </w:t>
            </w:r>
            <w:r>
              <w:rPr>
                <w:rFonts w:eastAsia="方正仿宋_GBK"/>
                <w:kern w:val="0"/>
                <w:sz w:val="28"/>
                <w:u w:val="single"/>
              </w:rPr>
              <w:t xml:space="preserve">     </w:t>
            </w:r>
            <w:r>
              <w:rPr>
                <w:rFonts w:eastAsia="方正仿宋_GBK"/>
                <w:kern w:val="0"/>
                <w:sz w:val="28"/>
              </w:rPr>
              <w:t>份材料</w:t>
            </w:r>
            <w:r>
              <w:rPr>
                <w:rFonts w:eastAsia="方正仿宋_GBK"/>
                <w:kern w:val="0"/>
                <w:sz w:val="32"/>
                <w:szCs w:val="32"/>
              </w:rPr>
              <w:t>，</w:t>
            </w:r>
            <w:r>
              <w:rPr>
                <w:rFonts w:eastAsia="方正仿宋_GBK"/>
                <w:kern w:val="0"/>
                <w:sz w:val="28"/>
              </w:rPr>
              <w:t>予以接收。</w:t>
            </w:r>
          </w:p>
          <w:p>
            <w:pPr>
              <w:spacing w:line="520" w:lineRule="exact"/>
            </w:pPr>
            <w:r>
              <w:rPr>
                <w:rFonts w:eastAsia="方正仿宋_GBK"/>
                <w:kern w:val="0"/>
                <w:sz w:val="28"/>
              </w:rPr>
              <w:t>接收者(签字):                  接收日期:   年   月   日</w:t>
            </w:r>
          </w:p>
        </w:tc>
      </w:tr>
    </w:tbl>
    <w:p>
      <w:pPr>
        <w:widowControl/>
        <w:spacing w:line="630" w:lineRule="atLeast"/>
        <w:ind w:firstLine="360" w:firstLineChars="150"/>
        <w:jc w:val="left"/>
        <w:rPr>
          <w:rFonts w:ascii="宋体" w:hAnsi="宋体"/>
          <w:kern w:val="0"/>
          <w:sz w:val="24"/>
          <w:szCs w:val="32"/>
          <w:shd w:val="clear" w:color="FFFFFF" w:fill="FFFFFF"/>
        </w:rPr>
      </w:pPr>
      <w:r>
        <w:rPr>
          <w:rFonts w:ascii="宋体" w:hAnsi="宋体"/>
          <w:kern w:val="0"/>
          <w:sz w:val="24"/>
          <w:szCs w:val="32"/>
          <w:shd w:val="clear" w:color="FFFFFF" w:fill="FFFFFF"/>
        </w:rPr>
        <w:t>备注:本表一式两份</w:t>
      </w:r>
    </w:p>
    <w:p>
      <w:pPr>
        <w:rPr>
          <w:rFonts w:ascii="宋体" w:hAnsi="宋体"/>
          <w:kern w:val="0"/>
          <w:sz w:val="24"/>
          <w:szCs w:val="32"/>
          <w:shd w:val="clear" w:color="FFFFFF" w:fill="FFFFFF"/>
        </w:rPr>
      </w:pPr>
      <w:r>
        <w:rPr>
          <w:rFonts w:ascii="宋体" w:hAnsi="宋体"/>
          <w:kern w:val="0"/>
          <w:sz w:val="24"/>
          <w:szCs w:val="32"/>
          <w:shd w:val="clear" w:color="FFFFFF" w:fill="FFFFFF"/>
        </w:rPr>
        <w:br w:type="page"/>
      </w:r>
    </w:p>
    <w:p>
      <w:pPr>
        <w:widowControl/>
        <w:spacing w:line="630" w:lineRule="atLeast"/>
        <w:jc w:val="left"/>
      </w:pPr>
      <w:r>
        <w:rPr>
          <w:rFonts w:eastAsia="方正黑体_GBK"/>
          <w:kern w:val="0"/>
          <w:sz w:val="32"/>
          <w:szCs w:val="32"/>
          <w:shd w:val="clear" w:color="FFFFFF" w:fill="FFFFFF"/>
        </w:rPr>
        <w:t>附件5</w:t>
      </w:r>
    </w:p>
    <w:p>
      <w:pPr>
        <w:widowControl/>
        <w:spacing w:line="630" w:lineRule="atLeast"/>
        <w:jc w:val="center"/>
        <w:rPr>
          <w:b/>
        </w:rPr>
      </w:pPr>
      <w:r>
        <w:rPr>
          <w:rStyle w:val="10"/>
          <w:rFonts w:eastAsia="方正小标宋_GBK"/>
          <w:b w:val="0"/>
          <w:kern w:val="0"/>
          <w:sz w:val="44"/>
          <w:szCs w:val="44"/>
          <w:shd w:val="clear" w:color="FFFFFF" w:fill="FFFFFF"/>
        </w:rPr>
        <w:t>企业统计</w:t>
      </w:r>
      <w:r>
        <w:rPr>
          <w:rStyle w:val="10"/>
          <w:rFonts w:eastAsia="方正小标宋_GBK"/>
          <w:b w:val="0"/>
          <w:spacing w:val="-6"/>
          <w:kern w:val="0"/>
          <w:sz w:val="44"/>
          <w:szCs w:val="44"/>
          <w:shd w:val="clear" w:color="FFFFFF" w:fill="FFFFFF"/>
        </w:rPr>
        <w:t>信用异议信息处理结果反馈单</w:t>
      </w:r>
    </w:p>
    <w:p>
      <w:pPr>
        <w:widowControl/>
        <w:spacing w:line="630" w:lineRule="atLeast"/>
        <w:jc w:val="center"/>
      </w:pPr>
      <w:r>
        <w:rPr>
          <w:rFonts w:eastAsia="微软雅黑"/>
          <w:kern w:val="0"/>
          <w:sz w:val="32"/>
          <w:szCs w:val="32"/>
        </w:rPr>
        <w:t xml:space="preserve">                      </w:t>
      </w:r>
      <w:r>
        <w:rPr>
          <w:rStyle w:val="10"/>
          <w:rFonts w:eastAsia="方正仿宋_GBK"/>
          <w:b w:val="0"/>
          <w:bCs w:val="0"/>
          <w:kern w:val="0"/>
          <w:sz w:val="32"/>
          <w:szCs w:val="32"/>
          <w:shd w:val="clear" w:color="FFFFFF" w:fill="FFFFFF"/>
        </w:rPr>
        <w:t>编号：</w:t>
      </w:r>
      <w:r>
        <w:rPr>
          <w:rFonts w:eastAsia="方正仿宋_GBK"/>
          <w:kern w:val="0"/>
          <w:sz w:val="32"/>
          <w:szCs w:val="32"/>
        </w:rPr>
        <w:t>（年份+四位流水号）</w:t>
      </w:r>
      <w:r>
        <w:rPr>
          <w:rStyle w:val="10"/>
          <w:rFonts w:eastAsia="方正仿宋_GBK"/>
          <w:b w:val="0"/>
          <w:bCs w:val="0"/>
          <w:kern w:val="0"/>
          <w:sz w:val="32"/>
          <w:szCs w:val="32"/>
          <w:shd w:val="clear" w:color="FFFFFF" w:fill="FFFFFF"/>
        </w:rPr>
        <w:t xml:space="preserve">              </w:t>
      </w:r>
    </w:p>
    <w:tbl>
      <w:tblPr>
        <w:tblStyle w:val="8"/>
        <w:tblW w:w="8210" w:type="dxa"/>
        <w:tblInd w:w="10" w:type="dxa"/>
        <w:tblLayout w:type="fixed"/>
        <w:tblCellMar>
          <w:top w:w="0" w:type="dxa"/>
          <w:left w:w="0" w:type="dxa"/>
          <w:bottom w:w="0" w:type="dxa"/>
          <w:right w:w="0" w:type="dxa"/>
        </w:tblCellMar>
      </w:tblPr>
      <w:tblGrid>
        <w:gridCol w:w="1461"/>
        <w:gridCol w:w="6749"/>
      </w:tblGrid>
      <w:tr>
        <w:tblPrEx>
          <w:tblLayout w:type="fixed"/>
          <w:tblCellMar>
            <w:top w:w="0" w:type="dxa"/>
            <w:left w:w="0" w:type="dxa"/>
            <w:bottom w:w="0" w:type="dxa"/>
            <w:right w:w="0" w:type="dxa"/>
          </w:tblCellMar>
        </w:tblPrEx>
        <w:trPr>
          <w:trHeight w:val="460" w:hRule="atLeast"/>
        </w:trPr>
        <w:tc>
          <w:tcPr>
            <w:tcW w:w="146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申请单位</w:t>
            </w:r>
          </w:p>
        </w:tc>
        <w:tc>
          <w:tcPr>
            <w:tcW w:w="6749"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Layout w:type="fixed"/>
          <w:tblCellMar>
            <w:top w:w="0" w:type="dxa"/>
            <w:left w:w="0" w:type="dxa"/>
            <w:bottom w:w="0" w:type="dxa"/>
            <w:right w:w="0" w:type="dxa"/>
          </w:tblCellMar>
        </w:tblPrEx>
        <w:trPr>
          <w:trHeight w:val="624" w:hRule="atLeast"/>
        </w:trPr>
        <w:tc>
          <w:tcPr>
            <w:tcW w:w="1461"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Cs w:val="0"/>
                <w:kern w:val="0"/>
                <w:sz w:val="32"/>
                <w:szCs w:val="32"/>
              </w:rPr>
              <w:t>异议信息</w:t>
            </w:r>
            <w:r>
              <w:rPr>
                <w:rStyle w:val="10"/>
                <w:rFonts w:eastAsia="方正仿宋_GBK"/>
                <w:bCs w:val="0"/>
                <w:kern w:val="0"/>
                <w:sz w:val="32"/>
                <w:szCs w:val="32"/>
              </w:rPr>
              <w:br w:type="textWrapping"/>
            </w:r>
            <w:r>
              <w:rPr>
                <w:rStyle w:val="10"/>
                <w:rFonts w:eastAsia="方正仿宋_GBK"/>
                <w:bCs w:val="0"/>
                <w:kern w:val="0"/>
                <w:sz w:val="32"/>
                <w:szCs w:val="32"/>
              </w:rPr>
              <w:t>申请内容</w:t>
            </w:r>
          </w:p>
        </w:tc>
        <w:tc>
          <w:tcPr>
            <w:tcW w:w="6749"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Layout w:type="fixed"/>
          <w:tblCellMar>
            <w:top w:w="0" w:type="dxa"/>
            <w:left w:w="0" w:type="dxa"/>
            <w:bottom w:w="0" w:type="dxa"/>
            <w:right w:w="0" w:type="dxa"/>
          </w:tblCellMar>
        </w:tblPrEx>
        <w:trPr>
          <w:trHeight w:val="2919" w:hRule="atLeast"/>
        </w:trPr>
        <w:tc>
          <w:tcPr>
            <w:tcW w:w="1461"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294" w:lineRule="atLeast"/>
              <w:jc w:val="left"/>
              <w:rPr>
                <w:b/>
              </w:rPr>
            </w:pPr>
          </w:p>
        </w:tc>
        <w:tc>
          <w:tcPr>
            <w:tcW w:w="6749"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294" w:lineRule="atLeast"/>
              <w:jc w:val="left"/>
            </w:pPr>
          </w:p>
        </w:tc>
      </w:tr>
      <w:tr>
        <w:tblPrEx>
          <w:tblLayout w:type="fixed"/>
          <w:tblCellMar>
            <w:top w:w="0" w:type="dxa"/>
            <w:left w:w="0" w:type="dxa"/>
            <w:bottom w:w="0" w:type="dxa"/>
            <w:right w:w="0" w:type="dxa"/>
          </w:tblCellMar>
        </w:tblPrEx>
        <w:trPr>
          <w:trHeight w:val="624" w:hRule="atLeast"/>
        </w:trPr>
        <w:tc>
          <w:tcPr>
            <w:tcW w:w="1461" w:type="dxa"/>
            <w:vMerge w:val="restart"/>
            <w:tcBorders>
              <w:top w:val="single" w:color="000000" w:sz="4"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Cs w:val="0"/>
                <w:kern w:val="0"/>
                <w:sz w:val="32"/>
                <w:szCs w:val="32"/>
              </w:rPr>
              <w:t>异议信息</w:t>
            </w:r>
            <w:r>
              <w:rPr>
                <w:rStyle w:val="10"/>
                <w:rFonts w:eastAsia="方正仿宋_GBK"/>
                <w:bCs w:val="0"/>
                <w:kern w:val="0"/>
                <w:sz w:val="32"/>
                <w:szCs w:val="32"/>
              </w:rPr>
              <w:br w:type="textWrapping"/>
            </w:r>
            <w:r>
              <w:rPr>
                <w:rStyle w:val="10"/>
                <w:rFonts w:eastAsia="方正仿宋_GBK"/>
                <w:bCs w:val="0"/>
                <w:kern w:val="0"/>
                <w:sz w:val="32"/>
                <w:szCs w:val="32"/>
              </w:rPr>
              <w:t>处理结果</w:t>
            </w:r>
          </w:p>
        </w:tc>
        <w:tc>
          <w:tcPr>
            <w:tcW w:w="6749" w:type="dxa"/>
            <w:vMerge w:val="restart"/>
            <w:tcBorders>
              <w:top w:val="single" w:color="000000" w:sz="4" w:space="0"/>
              <w:left w:val="single" w:color="auto" w:sz="8" w:space="0"/>
              <w:bottom w:val="single" w:color="000000" w:sz="4" w:space="0"/>
              <w:right w:val="single" w:color="auto" w:sz="8" w:space="0"/>
            </w:tcBorders>
            <w:noWrap w:val="0"/>
            <w:tcMar>
              <w:top w:w="0" w:type="dxa"/>
              <w:left w:w="0" w:type="dxa"/>
              <w:bottom w:w="0" w:type="dxa"/>
              <w:right w:w="0" w:type="dxa"/>
            </w:tcMar>
            <w:vAlign w:val="bottom"/>
          </w:tcPr>
          <w:p>
            <w:pPr>
              <w:widowControl/>
              <w:spacing w:line="294" w:lineRule="atLeast"/>
              <w:jc w:val="right"/>
              <w:textAlignment w:val="bottom"/>
            </w:pPr>
            <w:r>
              <w:rPr>
                <w:rFonts w:eastAsia="方正仿宋_GBK"/>
                <w:kern w:val="0"/>
                <w:sz w:val="32"/>
                <w:szCs w:val="32"/>
              </w:rPr>
              <w:t xml:space="preserve"> XX统计局       </w:t>
            </w:r>
            <w:r>
              <w:rPr>
                <w:rFonts w:eastAsia="方正仿宋_GBK"/>
                <w:kern w:val="0"/>
                <w:sz w:val="32"/>
                <w:szCs w:val="32"/>
              </w:rPr>
              <w:br w:type="textWrapping"/>
            </w:r>
            <w:r>
              <w:rPr>
                <w:rFonts w:eastAsia="方正仿宋_GBK"/>
                <w:kern w:val="0"/>
                <w:sz w:val="32"/>
                <w:szCs w:val="32"/>
              </w:rPr>
              <w:t xml:space="preserve">    年  月  日  （盖章）    </w:t>
            </w:r>
          </w:p>
        </w:tc>
      </w:tr>
      <w:tr>
        <w:tblPrEx>
          <w:tblLayout w:type="fixed"/>
          <w:tblCellMar>
            <w:top w:w="0" w:type="dxa"/>
            <w:left w:w="0" w:type="dxa"/>
            <w:bottom w:w="0" w:type="dxa"/>
            <w:right w:w="0" w:type="dxa"/>
          </w:tblCellMar>
        </w:tblPrEx>
        <w:trPr>
          <w:trHeight w:val="3684" w:hRule="atLeast"/>
        </w:trPr>
        <w:tc>
          <w:tcPr>
            <w:tcW w:w="1461" w:type="dxa"/>
            <w:vMerge w:val="continue"/>
            <w:tcBorders>
              <w:top w:val="single" w:color="000000" w:sz="4" w:space="0"/>
              <w:left w:val="single" w:color="auto" w:sz="8" w:space="0"/>
              <w:bottom w:val="single" w:color="000000" w:sz="4" w:space="0"/>
              <w:right w:val="single" w:color="auto" w:sz="8" w:space="0"/>
            </w:tcBorders>
            <w:noWrap w:val="0"/>
            <w:vAlign w:val="center"/>
          </w:tcPr>
          <w:p>
            <w:pPr>
              <w:widowControl/>
              <w:spacing w:line="294" w:lineRule="atLeast"/>
              <w:jc w:val="left"/>
            </w:pPr>
          </w:p>
        </w:tc>
        <w:tc>
          <w:tcPr>
            <w:tcW w:w="6749" w:type="dxa"/>
            <w:vMerge w:val="continue"/>
            <w:tcBorders>
              <w:top w:val="single" w:color="000000" w:sz="4" w:space="0"/>
              <w:left w:val="single" w:color="auto" w:sz="8" w:space="0"/>
              <w:bottom w:val="single" w:color="000000" w:sz="4" w:space="0"/>
              <w:right w:val="single" w:color="auto" w:sz="8" w:space="0"/>
            </w:tcBorders>
            <w:noWrap w:val="0"/>
            <w:vAlign w:val="bottom"/>
          </w:tcPr>
          <w:p>
            <w:pPr>
              <w:widowControl/>
              <w:spacing w:line="294" w:lineRule="atLeast"/>
              <w:jc w:val="right"/>
              <w:textAlignment w:val="bottom"/>
            </w:pPr>
          </w:p>
        </w:tc>
      </w:tr>
      <w:tr>
        <w:tblPrEx>
          <w:tblLayout w:type="fixed"/>
          <w:tblCellMar>
            <w:top w:w="0" w:type="dxa"/>
            <w:left w:w="0" w:type="dxa"/>
            <w:bottom w:w="0" w:type="dxa"/>
            <w:right w:w="0" w:type="dxa"/>
          </w:tblCellMar>
        </w:tblPrEx>
        <w:trPr>
          <w:trHeight w:val="890" w:hRule="atLeast"/>
        </w:trPr>
        <w:tc>
          <w:tcPr>
            <w:tcW w:w="1461" w:type="dxa"/>
            <w:tcBorders>
              <w:top w:val="single" w:color="000000" w:sz="4"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备注</w:t>
            </w:r>
          </w:p>
        </w:tc>
        <w:tc>
          <w:tcPr>
            <w:tcW w:w="6749" w:type="dxa"/>
            <w:tcBorders>
              <w:top w:val="single" w:color="000000" w:sz="4"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重庆市统计局发布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重庆市统计局行政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5E78EF"/>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4E2609C"/>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2023-02-14T10:49:24Z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48C61CB29D3F4D9384F5922CF0F7FFB4</vt:lpwstr>
  </property>
</Properties>
</file>