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60475">
      <w:pPr>
        <w:widowControl/>
        <w:autoSpaceDN w:val="0"/>
        <w:spacing w:line="560" w:lineRule="exact"/>
        <w:jc w:val="center"/>
        <w:rPr>
          <w:rFonts w:ascii="方正小标宋_GBK" w:eastAsia="方正小标宋_GBK" w:cs="宋体"/>
          <w:color w:val="000000"/>
          <w:kern w:val="0"/>
          <w:sz w:val="44"/>
          <w:szCs w:val="44"/>
        </w:rPr>
      </w:pPr>
      <w:bookmarkStart w:id="0" w:name="_GoBack"/>
      <w:bookmarkEnd w:id="0"/>
      <w:r>
        <w:rPr>
          <w:rFonts w:hint="eastAsia" w:ascii="方正小标宋_GBK" w:eastAsia="方正小标宋_GBK" w:cs="宋体"/>
          <w:color w:val="000000"/>
          <w:kern w:val="0"/>
          <w:sz w:val="44"/>
          <w:szCs w:val="44"/>
        </w:rPr>
        <w:t>重庆市南岸区人民政府海棠溪街道办事处2020年部门决算情况说明</w:t>
      </w:r>
    </w:p>
    <w:p w14:paraId="4047784C">
      <w:pPr>
        <w:spacing w:line="560" w:lineRule="exact"/>
        <w:jc w:val="center"/>
        <w:rPr>
          <w:rFonts w:ascii="仿宋_GB2312" w:eastAsia="仿宋_GB2312"/>
          <w:b/>
          <w:sz w:val="28"/>
          <w:szCs w:val="28"/>
        </w:rPr>
      </w:pPr>
    </w:p>
    <w:p w14:paraId="6F9530CE">
      <w:pPr>
        <w:tabs>
          <w:tab w:val="left" w:pos="6315"/>
        </w:tabs>
        <w:ind w:firstLine="640" w:firstLineChars="200"/>
        <w:rPr>
          <w:rFonts w:ascii="黑体" w:hAnsi="黑体" w:eastAsia="黑体"/>
          <w:sz w:val="32"/>
          <w:szCs w:val="32"/>
        </w:rPr>
      </w:pPr>
      <w:r>
        <w:rPr>
          <w:rFonts w:hint="eastAsia" w:ascii="黑体" w:hAnsi="黑体" w:eastAsia="黑体"/>
          <w:sz w:val="32"/>
          <w:szCs w:val="32"/>
        </w:rPr>
        <w:t>一、部门基本情况</w:t>
      </w:r>
      <w:r>
        <w:rPr>
          <w:rFonts w:hint="eastAsia" w:ascii="黑体" w:hAnsi="黑体" w:eastAsia="黑体"/>
          <w:sz w:val="32"/>
          <w:szCs w:val="32"/>
        </w:rPr>
        <w:tab/>
      </w:r>
    </w:p>
    <w:p w14:paraId="748C67A5">
      <w:pPr>
        <w:ind w:firstLine="643" w:firstLineChars="200"/>
        <w:rPr>
          <w:rFonts w:ascii="方正仿宋_GBK" w:eastAsia="方正仿宋_GBK"/>
          <w:b/>
          <w:sz w:val="32"/>
          <w:szCs w:val="32"/>
        </w:rPr>
      </w:pPr>
      <w:r>
        <w:rPr>
          <w:rFonts w:hint="eastAsia" w:ascii="方正仿宋_GBK" w:eastAsia="方正仿宋_GBK"/>
          <w:b/>
          <w:sz w:val="32"/>
          <w:szCs w:val="32"/>
        </w:rPr>
        <w:t>（一）职能职责</w:t>
      </w:r>
    </w:p>
    <w:p w14:paraId="53DFAF25">
      <w:pPr>
        <w:ind w:firstLine="640" w:firstLineChars="200"/>
        <w:rPr>
          <w:rFonts w:ascii="方正仿宋_GBK" w:eastAsia="方正仿宋_GBK"/>
          <w:sz w:val="32"/>
          <w:szCs w:val="32"/>
        </w:rPr>
      </w:pPr>
      <w:r>
        <w:rPr>
          <w:rFonts w:hint="eastAsia" w:ascii="方正仿宋_GBK" w:eastAsia="方正仿宋_GBK"/>
          <w:sz w:val="32"/>
          <w:szCs w:val="32"/>
        </w:rPr>
        <w:t>1、全面贯彻党的路线、方针、政策，执行上级国家行政机关的决定和命令，按照职责权限依法制定行政措施。</w:t>
      </w:r>
    </w:p>
    <w:p w14:paraId="47D6AE4E">
      <w:pPr>
        <w:ind w:firstLine="640" w:firstLineChars="200"/>
        <w:rPr>
          <w:rFonts w:ascii="方正仿宋_GBK" w:eastAsia="方正仿宋_GBK"/>
          <w:sz w:val="32"/>
          <w:szCs w:val="32"/>
        </w:rPr>
      </w:pPr>
      <w:r>
        <w:rPr>
          <w:rFonts w:hint="eastAsia" w:ascii="方正仿宋_GBK" w:eastAsia="方正仿宋_GBK"/>
          <w:sz w:val="32"/>
          <w:szCs w:val="32"/>
        </w:rPr>
        <w:t xml:space="preserve">2、编报和执行本辖区内国民经济和社会发展计划，并做好统计工作；负责本辖区经济发展管理工作，繁荣区域经济。根据政府授权组织实施辖区内经济社会发展项目。 </w:t>
      </w:r>
    </w:p>
    <w:p w14:paraId="1D210705">
      <w:pPr>
        <w:ind w:firstLine="640" w:firstLineChars="200"/>
        <w:rPr>
          <w:rFonts w:ascii="方正仿宋_GBK" w:eastAsia="方正仿宋_GBK"/>
          <w:sz w:val="32"/>
          <w:szCs w:val="32"/>
        </w:rPr>
      </w:pPr>
      <w:r>
        <w:rPr>
          <w:rFonts w:hint="eastAsia" w:ascii="方正仿宋_GBK" w:eastAsia="方正仿宋_GBK"/>
          <w:sz w:val="32"/>
          <w:szCs w:val="32"/>
        </w:rPr>
        <w:t>3、负责本辖区科学、教育、文化、卫生、体育、计划生育、环境和资源保护、安全、生产劳动和社会保障、民政、政府法制等行政工作。</w:t>
      </w:r>
    </w:p>
    <w:p w14:paraId="7EC9F206">
      <w:pPr>
        <w:ind w:firstLine="640" w:firstLineChars="200"/>
        <w:rPr>
          <w:rFonts w:ascii="方正仿宋_GBK" w:eastAsia="方正仿宋_GBK"/>
          <w:sz w:val="32"/>
          <w:szCs w:val="32"/>
        </w:rPr>
      </w:pPr>
      <w:r>
        <w:rPr>
          <w:rFonts w:hint="eastAsia" w:ascii="方正仿宋_GBK" w:eastAsia="方正仿宋_GBK"/>
          <w:sz w:val="32"/>
          <w:szCs w:val="32"/>
        </w:rPr>
        <w:t>4、负责本辖区精神文明建设工作，组织开展创建文明城市、文明社区、文明单位、居民自治模范社区、群众性文化体育等活动，组织开展民主法制教育和社会公德教育，提高全民素质。</w:t>
      </w:r>
    </w:p>
    <w:p w14:paraId="1E54FA7E">
      <w:pPr>
        <w:ind w:firstLine="640" w:firstLineChars="200"/>
        <w:rPr>
          <w:rFonts w:ascii="方正仿宋_GBK" w:eastAsia="方正仿宋_GBK"/>
          <w:sz w:val="32"/>
          <w:szCs w:val="32"/>
        </w:rPr>
      </w:pPr>
      <w:r>
        <w:rPr>
          <w:rFonts w:hint="eastAsia" w:ascii="方正仿宋_GBK" w:eastAsia="方正仿宋_GBK"/>
          <w:sz w:val="32"/>
          <w:szCs w:val="32"/>
        </w:rPr>
        <w:t>5、配合区政府有关部门做好城市管理工作。负责管理大街小巷和居民区的清洁、绿化、亮化工作；组织开展爱国卫生活动；协助政府有关部门做好城市规划、建设管理和国土资源管理工作。</w:t>
      </w:r>
    </w:p>
    <w:p w14:paraId="2FC38B28">
      <w:pPr>
        <w:ind w:firstLine="640" w:firstLineChars="200"/>
        <w:rPr>
          <w:rFonts w:ascii="方正仿宋_GBK" w:eastAsia="方正仿宋_GBK"/>
          <w:sz w:val="32"/>
          <w:szCs w:val="32"/>
        </w:rPr>
      </w:pPr>
      <w:r>
        <w:rPr>
          <w:rFonts w:hint="eastAsia" w:ascii="方正仿宋_GBK" w:eastAsia="方正仿宋_GBK"/>
          <w:sz w:val="32"/>
          <w:szCs w:val="32"/>
        </w:rPr>
        <w:t>6、负责本辖区社区建设、管理、服务工作。指导居委会开展工作，反映社区居民的意见和要求，处理人民来信来访；按属地管理原则，制订本辖区社会治安综合治理规划并组织实施人民调解、治安保卫工作，维护社会秩序和社会稳定；举办便民、利民的社区公共事务和公共福利事业，负责社区公共服务设施、公共服务机构建设，负责优抚安置、救灾救济、拥军优属、殡葬改革、老龄事业及维护残疾人合法权益等工作。</w:t>
      </w:r>
    </w:p>
    <w:p w14:paraId="2322FB54">
      <w:pPr>
        <w:ind w:firstLine="640" w:firstLineChars="200"/>
        <w:rPr>
          <w:rFonts w:ascii="方正仿宋_GBK" w:eastAsia="方正仿宋_GBK"/>
          <w:sz w:val="32"/>
          <w:szCs w:val="32"/>
        </w:rPr>
      </w:pPr>
      <w:r>
        <w:rPr>
          <w:rFonts w:hint="eastAsia" w:ascii="方正仿宋_GBK" w:eastAsia="方正仿宋_GBK"/>
          <w:sz w:val="32"/>
          <w:szCs w:val="32"/>
        </w:rPr>
        <w:t xml:space="preserve">7、保护辖区内全民所有的财产和集体所有的财产安全，保护公民私人所有的合法财产，保障公民的人身权利、民主权利和其它合法权利；保证各种经济组织合法权益。  </w:t>
      </w:r>
    </w:p>
    <w:p w14:paraId="6FF130E4">
      <w:pPr>
        <w:ind w:firstLine="640" w:firstLineChars="200"/>
        <w:rPr>
          <w:rFonts w:ascii="方正仿宋_GBK" w:eastAsia="方正仿宋_GBK"/>
          <w:sz w:val="32"/>
          <w:szCs w:val="32"/>
        </w:rPr>
      </w:pPr>
      <w:r>
        <w:rPr>
          <w:rFonts w:hint="eastAsia" w:ascii="方正仿宋_GBK" w:eastAsia="方正仿宋_GBK"/>
          <w:sz w:val="32"/>
          <w:szCs w:val="32"/>
        </w:rPr>
        <w:t>8、保障宪法和法律赋予妇女的男女平等、同工同酬和婚姻自由等各项权利。</w:t>
      </w:r>
    </w:p>
    <w:p w14:paraId="55EE85AE">
      <w:pPr>
        <w:ind w:firstLine="640" w:firstLineChars="200"/>
        <w:rPr>
          <w:rFonts w:ascii="方正仿宋_GBK" w:eastAsia="方正仿宋_GBK"/>
          <w:sz w:val="32"/>
          <w:szCs w:val="32"/>
        </w:rPr>
      </w:pPr>
      <w:r>
        <w:rPr>
          <w:rFonts w:hint="eastAsia" w:ascii="方正仿宋_GBK" w:eastAsia="方正仿宋_GBK"/>
          <w:sz w:val="32"/>
          <w:szCs w:val="32"/>
        </w:rPr>
        <w:t>9、对政府主管审批的事项提出审核意见。</w:t>
      </w:r>
    </w:p>
    <w:p w14:paraId="67F00FEA">
      <w:pPr>
        <w:ind w:firstLine="640" w:firstLineChars="200"/>
        <w:rPr>
          <w:rFonts w:ascii="方正仿宋_GBK" w:eastAsia="方正仿宋_GBK"/>
          <w:sz w:val="32"/>
          <w:szCs w:val="32"/>
        </w:rPr>
      </w:pPr>
      <w:r>
        <w:rPr>
          <w:rFonts w:hint="eastAsia" w:ascii="方正仿宋_GBK" w:eastAsia="方正仿宋_GBK"/>
          <w:sz w:val="32"/>
          <w:szCs w:val="32"/>
        </w:rPr>
        <w:t>10、领导所属工作部门的工作；改变或者撤消所属工作部门不适当的决定。</w:t>
      </w:r>
    </w:p>
    <w:p w14:paraId="3B033C42">
      <w:pPr>
        <w:ind w:firstLine="640" w:firstLineChars="200"/>
        <w:rPr>
          <w:rFonts w:ascii="方正仿宋_GBK" w:eastAsia="方正仿宋_GBK"/>
          <w:sz w:val="32"/>
          <w:szCs w:val="32"/>
        </w:rPr>
      </w:pPr>
      <w:r>
        <w:rPr>
          <w:rFonts w:hint="eastAsia" w:ascii="方正仿宋_GBK" w:eastAsia="方正仿宋_GBK"/>
          <w:sz w:val="32"/>
          <w:szCs w:val="32"/>
        </w:rPr>
        <w:t>11、依照法律的规定和干部管理权限任免、培训、考核和奖惩本辖区干部、工作人员。</w:t>
      </w:r>
    </w:p>
    <w:p w14:paraId="11F987EA">
      <w:pPr>
        <w:ind w:firstLine="640" w:firstLineChars="200"/>
        <w:rPr>
          <w:rFonts w:ascii="方正仿宋_GBK" w:eastAsia="方正仿宋_GBK"/>
          <w:b/>
          <w:sz w:val="32"/>
          <w:szCs w:val="32"/>
        </w:rPr>
      </w:pPr>
      <w:r>
        <w:rPr>
          <w:rFonts w:hint="eastAsia" w:ascii="方正仿宋_GBK" w:eastAsia="方正仿宋_GBK"/>
          <w:sz w:val="32"/>
          <w:szCs w:val="32"/>
        </w:rPr>
        <w:t>12、办理区委、区政府交办的其他工作事项。</w:t>
      </w:r>
    </w:p>
    <w:p w14:paraId="219C1ADF">
      <w:pPr>
        <w:ind w:firstLine="643" w:firstLineChars="200"/>
        <w:rPr>
          <w:rFonts w:ascii="方正仿宋_GBK" w:eastAsia="方正仿宋_GBK"/>
          <w:b/>
          <w:sz w:val="32"/>
          <w:szCs w:val="32"/>
        </w:rPr>
      </w:pPr>
      <w:r>
        <w:rPr>
          <w:rFonts w:hint="eastAsia" w:ascii="方正仿宋_GBK" w:eastAsia="方正仿宋_GBK"/>
          <w:b/>
          <w:sz w:val="32"/>
          <w:szCs w:val="32"/>
        </w:rPr>
        <w:t>（二）机构设置</w:t>
      </w:r>
    </w:p>
    <w:p w14:paraId="6D00B867">
      <w:pPr>
        <w:ind w:firstLine="640" w:firstLineChars="200"/>
        <w:rPr>
          <w:rFonts w:ascii="方正仿宋_GBK" w:eastAsia="方正仿宋_GBK"/>
          <w:sz w:val="32"/>
          <w:szCs w:val="32"/>
        </w:rPr>
      </w:pPr>
      <w:r>
        <w:rPr>
          <w:rFonts w:hint="eastAsia" w:ascii="方正仿宋_GBK" w:eastAsia="方正仿宋_GBK"/>
          <w:sz w:val="32"/>
          <w:szCs w:val="32"/>
        </w:rPr>
        <w:t>我街道办事处为区政府的派出机构，属全额拨款行政单位。内设党政办公室、党建工作办公室、经济发展办公室、民政和社会事务办公室、平安建设办公室、规划建设管理环保办公室、财政办公室、应急管理办公室、综合行政执法办公室等9个职能科室，以及执法大队1个参公事业单位，社区事务服务中心、社区文化服务中心、劳动就业和社会保障服务所、退役军人服务站、综合行政执法大队、物业管理服务中心等6个事业单位。编制人数75人，实有在职人数68人，退休16人。</w:t>
      </w:r>
    </w:p>
    <w:p w14:paraId="4F88130E">
      <w:pPr>
        <w:ind w:firstLine="643" w:firstLineChars="200"/>
        <w:rPr>
          <w:rFonts w:ascii="方正仿宋_GBK" w:eastAsia="方正仿宋_GBK"/>
          <w:b/>
          <w:sz w:val="32"/>
          <w:szCs w:val="32"/>
        </w:rPr>
      </w:pPr>
      <w:r>
        <w:rPr>
          <w:rFonts w:hint="eastAsia" w:ascii="方正仿宋_GBK" w:eastAsia="方正仿宋_GBK"/>
          <w:b/>
          <w:sz w:val="32"/>
          <w:szCs w:val="32"/>
        </w:rPr>
        <w:t>（三）单位构成</w:t>
      </w:r>
    </w:p>
    <w:p w14:paraId="0AE3447A">
      <w:pPr>
        <w:spacing w:line="580" w:lineRule="exact"/>
        <w:ind w:firstLine="646" w:firstLineChars="202"/>
        <w:rPr>
          <w:rFonts w:ascii="方正仿宋_GBK" w:eastAsia="方正仿宋_GBK"/>
          <w:sz w:val="32"/>
          <w:szCs w:val="32"/>
        </w:rPr>
      </w:pPr>
      <w:r>
        <w:rPr>
          <w:rFonts w:hint="eastAsia" w:ascii="方正仿宋_GBK" w:hAnsi="宋体" w:eastAsia="方正仿宋_GBK" w:cs="宋体"/>
          <w:color w:val="000000"/>
          <w:kern w:val="0"/>
          <w:sz w:val="32"/>
          <w:szCs w:val="32"/>
        </w:rPr>
        <w:t>本单位无下级预算单位。</w:t>
      </w:r>
    </w:p>
    <w:p w14:paraId="6B514CE0">
      <w:pPr>
        <w:ind w:firstLine="640" w:firstLineChars="200"/>
        <w:rPr>
          <w:rFonts w:ascii="黑体" w:hAnsi="黑体" w:eastAsia="黑体"/>
          <w:sz w:val="32"/>
          <w:szCs w:val="32"/>
        </w:rPr>
      </w:pPr>
      <w:r>
        <w:rPr>
          <w:rFonts w:hint="eastAsia" w:ascii="黑体" w:hAnsi="黑体" w:eastAsia="黑体"/>
          <w:sz w:val="32"/>
          <w:szCs w:val="32"/>
        </w:rPr>
        <w:t>二、部门决算情况说明</w:t>
      </w:r>
    </w:p>
    <w:p w14:paraId="1696A52C">
      <w:pPr>
        <w:ind w:firstLine="643" w:firstLineChars="200"/>
        <w:rPr>
          <w:rFonts w:ascii="方正仿宋_GBK" w:eastAsia="方正仿宋_GBK"/>
          <w:b/>
          <w:sz w:val="32"/>
          <w:szCs w:val="32"/>
        </w:rPr>
      </w:pPr>
      <w:r>
        <w:rPr>
          <w:rFonts w:hint="eastAsia" w:ascii="方正仿宋_GBK" w:hAnsi="宋体" w:eastAsia="方正仿宋_GBK" w:cs="宋体"/>
          <w:b/>
          <w:color w:val="000000"/>
          <w:kern w:val="0"/>
          <w:sz w:val="32"/>
          <w:szCs w:val="32"/>
        </w:rPr>
        <w:t>（一）收入支出决算总体情况说明　　</w:t>
      </w:r>
    </w:p>
    <w:p w14:paraId="72277DA5">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1、总体情况</w:t>
      </w:r>
    </w:p>
    <w:p w14:paraId="2583EFE4">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2020年度收入总计7723.46万元，支出总计7723.46万元。收支较上年决算数增加1070.95万元，增长16.1%，主要原因是追加疫情防控专项经费、抗洪救灾专项经费、老旧小区改造专项经费等。</w:t>
      </w:r>
    </w:p>
    <w:p w14:paraId="285698D4">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2、收入情况</w:t>
      </w:r>
    </w:p>
    <w:p w14:paraId="1642EFD1">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收入合计7512.7万元，较上年决算数增加908.02万元，增长13.8%，主要原因是追加疫情防控专项经费、抗洪救灾专项经费、老旧小区改造专项经费等。其中：财政拨款收入7512.7万元，占100.0%此外，年初结转和结余210.76万元。</w:t>
      </w:r>
    </w:p>
    <w:p w14:paraId="21236243">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3、支出情况</w:t>
      </w:r>
    </w:p>
    <w:p w14:paraId="749CFA4E">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支出合计7512.7万元，较上年决算数增加1092.88万元，增长17.0%，主要原因是追加疫情防控专项经费、抗洪救灾专项经费、老旧小区改造专项经费等。其中：基本支出1595.06万元，占21.2%；项目支出5917.64万元，占78.8%。</w:t>
      </w:r>
    </w:p>
    <w:p w14:paraId="2EF69320">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4、结转结余情况</w:t>
      </w:r>
    </w:p>
    <w:p w14:paraId="1E892BFB">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2020年度年末结转和结余0万元，较上年决算数减少210.76万元，下降100.0%，主要原因是今年各项目经费均严格按进度推进并在当年完成支付。</w:t>
      </w:r>
    </w:p>
    <w:p w14:paraId="73ED4369">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（二）财政拨款收入支出决算总体情况说明</w:t>
      </w:r>
    </w:p>
    <w:p w14:paraId="7DE779B9">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2020年度财政拨款收入总计7723.46万元，支出总计7723.46万元。与2019年相比，财政拨款收入、支出</w:t>
      </w:r>
      <w:r>
        <w:rPr>
          <w:rFonts w:hint="eastAsia" w:ascii="方正仿宋_GBK" w:eastAsia="方正仿宋_GBK"/>
          <w:sz w:val="32"/>
          <w:szCs w:val="32"/>
        </w:rPr>
        <w:t>各增加10</w:t>
      </w:r>
      <w:r>
        <w:rPr>
          <w:rFonts w:hint="eastAsia" w:ascii="方正仿宋_GBK" w:eastAsia="方正仿宋_GBK"/>
          <w:color w:val="000000"/>
          <w:sz w:val="32"/>
          <w:szCs w:val="32"/>
        </w:rPr>
        <w:t>70.95万元和1303.64万元，分别增长16.1%和20.3%，主要原因是追加疫情防控专项经费、抗洪救灾专项经费、老旧小区改造专项经费等。</w:t>
      </w:r>
    </w:p>
    <w:p w14:paraId="5F7737EB">
      <w:pPr>
        <w:pStyle w:val="5"/>
        <w:shd w:val="clear" w:color="auto" w:fill="FFFFFF"/>
        <w:spacing w:before="0" w:beforeAutospacing="0" w:after="0" w:afterAutospacing="0" w:line="560" w:lineRule="exact"/>
        <w:ind w:firstLine="643" w:firstLineChars="200"/>
        <w:jc w:val="both"/>
        <w:rPr>
          <w:rFonts w:ascii="方正仿宋_GBK" w:eastAsia="方正仿宋_GBK"/>
          <w:b/>
          <w:sz w:val="32"/>
          <w:szCs w:val="32"/>
        </w:rPr>
      </w:pPr>
      <w:r>
        <w:rPr>
          <w:rFonts w:hint="eastAsia" w:ascii="方正仿宋_GBK" w:eastAsia="方正仿宋_GBK"/>
          <w:b/>
          <w:color w:val="000000"/>
          <w:sz w:val="32"/>
          <w:szCs w:val="32"/>
        </w:rPr>
        <w:t>（三）一般公共预算财政拨款收入支出决算情况说明</w:t>
      </w:r>
    </w:p>
    <w:p w14:paraId="58245441">
      <w:pPr>
        <w:pStyle w:val="5"/>
        <w:shd w:val="clear" w:color="auto" w:fill="FFFFFF"/>
        <w:spacing w:before="0" w:beforeAutospacing="0" w:after="0" w:afterAutospacing="0" w:line="560" w:lineRule="exact"/>
        <w:ind w:firstLine="643" w:firstLineChars="200"/>
        <w:jc w:val="both"/>
        <w:rPr>
          <w:rFonts w:ascii="方正仿宋_GBK" w:eastAsia="方正仿宋_GBK"/>
          <w:b/>
          <w:sz w:val="32"/>
          <w:szCs w:val="32"/>
        </w:rPr>
      </w:pPr>
      <w:r>
        <w:rPr>
          <w:rFonts w:hint="eastAsia" w:ascii="方正仿宋_GBK" w:eastAsia="方正仿宋_GBK"/>
          <w:b/>
          <w:sz w:val="32"/>
          <w:szCs w:val="32"/>
        </w:rPr>
        <w:t>1、收入情况</w:t>
      </w:r>
    </w:p>
    <w:p w14:paraId="606F9929">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sz w:val="32"/>
          <w:szCs w:val="32"/>
        </w:rPr>
        <w:t>2020年度一般公共预算财政拨款收入6869.88万元，较上年决算数增加359.24万元，增长5.5%。主要原因是追加疫情防控专项经费、抗洪救灾专项经费、老旧小区改造专项经费等。较年初预算数增加1067.48万元，增长18.4%。主要原因是年中追加严重精神病障碍患者服务管理“以奖代补”资金15.12万元，社会工作服务项目资金30万元、老旧小区改造工程47万元、2020年一线城乡工作者疫情补助资金96万元、街镇疫情防控专项补助资金56万元、民政以奖代补资金13万元、2020年社区养老服务设施首期建设补贴资金40万元、非公经济组织和社会组织党组织及村社区党组织党员活动经费38.31万元、五月花房小区临辅仁路堡坎开裂整治项目100万元、新型冠状病毒感染的肺炎疫情防控专项资金30万元、垃圾分类专项资金80万元、基层社区建设资金，局务监督委员会成员补贴15.6万元、街镇生活垃圾分类建设经费21.6万元、精神障碍社区康复机构建设资金28.6万元、“两江四岸”船舶专项整治经费332.2万元、全区“三无”污水高层居住建筑室内消火栓通水整改资金78.96万元、暴雨洪涝灾害救灾应急补助中央基建投资预算（海棠溪街道2020年防汛灾后重建综合整治工程）140万元、灾后恢复重建财力补助资金（防汛抢险和灾后重建补助）273万元。此外，年初财政拨款结转和结余210.52万元。</w:t>
      </w:r>
    </w:p>
    <w:p w14:paraId="294789FE">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2、支出情况</w:t>
      </w:r>
    </w:p>
    <w:p w14:paraId="3116E992">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2020年度一般公共预算财政拨款支出7080.4万元，较上年决算数增加766.38万元，增长12.1%。</w:t>
      </w:r>
      <w:r>
        <w:rPr>
          <w:rFonts w:hint="eastAsia" w:ascii="方正仿宋_GBK" w:eastAsia="方正仿宋_GBK"/>
          <w:sz w:val="32"/>
          <w:szCs w:val="32"/>
        </w:rPr>
        <w:t>主要原因是追加疫情防控专项经费、抗洪救灾专项经费、老旧小区改造专项经费等。</w:t>
      </w:r>
      <w:r>
        <w:rPr>
          <w:rFonts w:hint="eastAsia" w:ascii="方正仿宋_GBK" w:eastAsia="方正仿宋_GBK"/>
          <w:color w:val="000000"/>
          <w:sz w:val="32"/>
          <w:szCs w:val="32"/>
        </w:rPr>
        <w:t>较年初预算数增加1278万元，增长22.0%。主要原因是年中</w:t>
      </w:r>
      <w:r>
        <w:rPr>
          <w:rFonts w:hint="eastAsia" w:ascii="方正仿宋_GBK" w:eastAsia="方正仿宋_GBK"/>
          <w:sz w:val="32"/>
          <w:szCs w:val="32"/>
        </w:rPr>
        <w:t>追加严重精神病障碍患者服务管理“以奖代补”资金15.12万元，社会工作服务项目资金30万元、老旧小区改造工程47万元、2020年一线城乡工作者疫情补助资金96万元、街镇疫情防控专项补助资金56万元、民政以奖代补资金13万元、2020年社区养老服务设施首期建设补贴资金40万元、非公经济组织和社会组织党组织及村社区党组织党员活动经费38.31万元、五月花房小区临辅仁路堡坎开裂整治项目100万元、新型冠状病毒感染的肺炎疫情防控专项资金30万元、垃圾分类专项资金80万元、基层社区建设资金监督委员会成员补贴15.6万元、街镇生活垃圾分类建设经费21.6万元、精神障碍社区康复机构建设资金28.6万元、“两江四岸”船舶专项整治经费332.2万元、全区“三无”污水高层居住建筑室内消火栓通水整改资金78.96万元、暴雨洪涝灾害救灾应急补助中央基建投资预算（海棠溪街道2020年防汛灾后重建综合整治工程）140万元、灾后恢复重建财力补助资金（防汛抢险和灾后重建补助）273万元等。</w:t>
      </w:r>
    </w:p>
    <w:p w14:paraId="320F9069">
      <w:pPr>
        <w:pStyle w:val="5"/>
        <w:shd w:val="clear" w:color="auto" w:fill="FFFFFF"/>
        <w:spacing w:before="0" w:beforeAutospacing="0" w:after="0" w:afterAutospacing="0" w:line="560" w:lineRule="exact"/>
        <w:ind w:firstLine="643" w:firstLineChars="200"/>
        <w:jc w:val="both"/>
        <w:rPr>
          <w:rFonts w:ascii="方正仿宋_GBK" w:eastAsia="方正仿宋_GBK"/>
          <w:b/>
          <w:color w:val="000000"/>
          <w:sz w:val="32"/>
          <w:szCs w:val="32"/>
        </w:rPr>
      </w:pPr>
      <w:r>
        <w:rPr>
          <w:rFonts w:hint="eastAsia" w:ascii="方正仿宋_GBK" w:eastAsia="方正仿宋_GBK"/>
          <w:b/>
          <w:color w:val="000000"/>
          <w:sz w:val="32"/>
          <w:szCs w:val="32"/>
        </w:rPr>
        <w:t>3、结转结余情况</w:t>
      </w:r>
    </w:p>
    <w:p w14:paraId="47915838">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2020年度年末一般公共预算财政拨款无结转和结余，较上年决算数减少210.52万元，下降100.0%。主要原因是今年各项目经费均严格按进度推进并在当年完成支付。</w:t>
      </w:r>
    </w:p>
    <w:p w14:paraId="0EAA6461">
      <w:pPr>
        <w:ind w:firstLine="64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4、比较情况</w:t>
      </w:r>
    </w:p>
    <w:p w14:paraId="728318CF">
      <w:pPr>
        <w:ind w:firstLine="640"/>
        <w:rPr>
          <w:rFonts w:ascii="方正仿宋_GBK" w:eastAsia="方正仿宋_GBK"/>
          <w:sz w:val="32"/>
          <w:szCs w:val="32"/>
        </w:rPr>
      </w:pPr>
      <w:r>
        <w:rPr>
          <w:rFonts w:hint="eastAsia" w:ascii="方正仿宋_GBK" w:hAnsi="宋体" w:eastAsia="方正仿宋_GBK" w:cs="宋体"/>
          <w:color w:val="000000"/>
          <w:kern w:val="0"/>
          <w:sz w:val="32"/>
          <w:szCs w:val="32"/>
        </w:rPr>
        <w:t>本部门2020年度一般公共预算财政拨款支出主要用于以下几个方面：</w:t>
      </w:r>
      <w:r>
        <w:rPr>
          <w:rFonts w:hint="eastAsia" w:ascii="方正仿宋_GBK" w:eastAsia="方正仿宋_GBK"/>
          <w:sz w:val="32"/>
          <w:szCs w:val="32"/>
        </w:rPr>
        <w:t xml:space="preserve"> </w:t>
      </w:r>
    </w:p>
    <w:p w14:paraId="60DD6EFD">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1）一般公共服务支出2133.28万元，占30.1%，较年初预算数增加327.34万元，增长18.1%，主要原因是追加下达七一慰问费经费资金、30年以上党龄老党员2020年生活补贴经费、非公经济组织和社会组织党组织、村社区党组织党员活动经费等。</w:t>
      </w:r>
    </w:p>
    <w:p w14:paraId="7E91E51F">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（2）公共安全支出6万元，占0.1%，较年初预算数增加6万元，主要原因是追加下达上访人员维稳专项经费。</w:t>
      </w:r>
    </w:p>
    <w:p w14:paraId="7FCE9701">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（3）科学技术支出13.6万元，占0.2%，较年初预算数增加13.6万元，主要原因是追加下达“基层科普行动计划”专项资金。</w:t>
      </w:r>
    </w:p>
    <w:p w14:paraId="7E73E190">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color w:val="000000"/>
          <w:sz w:val="32"/>
          <w:szCs w:val="32"/>
        </w:rPr>
        <w:t>（4）文化旅游体育与传媒支出49.1万元，占0.7%，较年初预算数增加16.39万元，主要原因是追加下达公共文化免费开放补助等经费。</w:t>
      </w:r>
    </w:p>
    <w:p w14:paraId="7839CA46">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（5）社会保障与就业支出2027.88万元，占28.6%，较年初预算数增加142.94万元，主要原因是追加社工项目经费、社区基层政权治理经费等。</w:t>
      </w:r>
    </w:p>
    <w:p w14:paraId="0E30505C">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（6）卫生健康支出128.36万元，占1.8%，较年初预算数增加50.7万元，主要原因是追加下达疫情防控经费。</w:t>
      </w:r>
    </w:p>
    <w:p w14:paraId="62C2338F">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（7）节能环保支出24.32万元，占0.3%，较年初预算数增加24.32元，主要原因是追加下达生活垃圾分类专项等经费。</w:t>
      </w:r>
    </w:p>
    <w:p w14:paraId="5A84920D">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（8）城乡社区支出2160.34万元，占30.5%，较年初预算数增加246.33万元，主要原因是追加下达老旧居住区综合整治项目经费。</w:t>
      </w:r>
    </w:p>
    <w:p w14:paraId="5E16E0F1">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（9）农林水支出273万元，占3.9%，较年初预算数增加273万元，主要原因是追加下达抗洪抢险经费。</w:t>
      </w:r>
    </w:p>
    <w:p w14:paraId="1C76E1F5">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（10）住房保障支出124.51万元，占1.8%，较年初预算数增加70.37万元，主要原因是追加下达老旧小区改造工程经费。</w:t>
      </w:r>
    </w:p>
    <w:p w14:paraId="14AC179E">
      <w:pPr>
        <w:pStyle w:val="5"/>
        <w:shd w:val="clear" w:color="auto" w:fill="FFFFFF"/>
        <w:spacing w:before="0" w:beforeAutospacing="0" w:after="0" w:afterAutospacing="0" w:line="56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（11）灾害防治及应急管理支出140万元，占2.0%，较年初预算数增加140万元，主要原因是追加下达暴雨洪涝抢险经费。　</w:t>
      </w:r>
    </w:p>
    <w:p w14:paraId="78A0D871">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（四）一般公共预算财政拨款基本支出决算情况说明</w:t>
      </w:r>
    </w:p>
    <w:p w14:paraId="3FFE8843">
      <w:pPr>
        <w:pStyle w:val="5"/>
        <w:shd w:val="clear" w:color="auto" w:fill="FFFFFF"/>
        <w:spacing w:before="0" w:beforeAutospacing="0" w:after="0" w:afterAutospacing="0" w:line="600" w:lineRule="exact"/>
        <w:ind w:firstLine="640"/>
        <w:jc w:val="both"/>
        <w:rPr>
          <w:rFonts w:ascii="方正仿宋_GBK" w:eastAsia="方正仿宋_GBK"/>
          <w:color w:val="000000"/>
          <w:sz w:val="32"/>
          <w:szCs w:val="32"/>
        </w:rPr>
      </w:pPr>
      <w:r>
        <w:rPr>
          <w:rFonts w:hint="eastAsia" w:ascii="方正仿宋_GBK" w:eastAsia="方正仿宋_GBK"/>
          <w:color w:val="000000"/>
          <w:sz w:val="32"/>
          <w:szCs w:val="32"/>
        </w:rPr>
        <w:t>2020年度一般公共财政拨款基本支出1595.06万元。其中：人员经费1068.67万元，较上年决算数减少99.39万元，下降8.5%，主要原因是参公城管队员在职人员保险调减指标。人员经费用途主要包括基本工资、津贴补贴、奖金、社会保障缴费、绩效工资、其他工资福利支出、退休费、生活补助、住房公积金、公务员医疗补助等。公用经费526.39万元，较上年决算数增加250.37万元，增长90.7%，主要原因是部分商品价格上涨。公用经费用途主要包括办公费、印刷费、水费、电费、邮电费、差旅费、劳务费、公务接待费、公务用车运行维护费等。</w:t>
      </w:r>
    </w:p>
    <w:p w14:paraId="0465CD16">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（五）政府性基金预算收支决算情况说明</w:t>
      </w:r>
    </w:p>
    <w:p w14:paraId="27ACE84B">
      <w:pPr>
        <w:ind w:firstLine="640"/>
        <w:rPr>
          <w:rFonts w:ascii="方正仿宋_GBK" w:eastAsia="方正仿宋_GBK"/>
          <w:sz w:val="32"/>
          <w:szCs w:val="32"/>
        </w:rPr>
      </w:pPr>
      <w:r>
        <w:rPr>
          <w:rFonts w:hint="eastAsia" w:ascii="方正仿宋_GBK" w:hAnsi="宋体" w:eastAsia="方正仿宋_GBK" w:cs="宋体"/>
          <w:color w:val="000000"/>
          <w:kern w:val="0"/>
          <w:sz w:val="32"/>
          <w:szCs w:val="32"/>
        </w:rPr>
        <w:t>2020年度政府性基金预算财政拨款年初结转结余0.24万元，年末结转结余0万元。本年收入642.82万元，较上年决算数增加548.78万元，增长583.6%，主要原因是本年追加下达社区养老服务站建设等经费。本年支出643.06万元，较上年决算数增加537.26万元，增</w:t>
      </w:r>
      <w:r>
        <w:rPr>
          <w:rFonts w:hint="eastAsia" w:ascii="方正仿宋_GBK" w:eastAsia="方正仿宋_GBK"/>
          <w:sz w:val="32"/>
          <w:szCs w:val="32"/>
        </w:rPr>
        <w:t>加507.8%，主要原因是本年追加下达社区养老服务站经费。</w:t>
      </w:r>
    </w:p>
    <w:p w14:paraId="62788D8A">
      <w:pPr>
        <w:ind w:firstLine="643" w:firstLineChars="200"/>
        <w:rPr>
          <w:rFonts w:ascii="方正仿宋_GBK" w:eastAsia="方正仿宋_GBK"/>
          <w:b/>
          <w:sz w:val="32"/>
          <w:szCs w:val="32"/>
        </w:rPr>
      </w:pPr>
      <w:r>
        <w:rPr>
          <w:rFonts w:hint="eastAsia" w:ascii="方正仿宋_GBK" w:hAnsi="宋体" w:eastAsia="方正仿宋_GBK" w:cs="宋体"/>
          <w:b/>
          <w:kern w:val="0"/>
          <w:sz w:val="32"/>
          <w:szCs w:val="32"/>
        </w:rPr>
        <w:t xml:space="preserve">三、“三公”经费情况说明 </w:t>
      </w:r>
      <w:r>
        <w:rPr>
          <w:rFonts w:hint="eastAsia" w:ascii="方正仿宋_GBK" w:hAnsi="宋体" w:eastAsia="方正仿宋_GBK" w:cs="宋体"/>
          <w:b/>
          <w:bCs/>
          <w:kern w:val="0"/>
          <w:sz w:val="32"/>
          <w:szCs w:val="32"/>
        </w:rPr>
        <w:t xml:space="preserve">　　 </w:t>
      </w:r>
    </w:p>
    <w:p w14:paraId="5A3885B0">
      <w:pPr>
        <w:ind w:firstLine="643" w:firstLineChars="20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（一）“三公”经费支出总体情况说明　　</w:t>
      </w:r>
    </w:p>
    <w:p w14:paraId="3971288E">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color w:val="000000"/>
          <w:sz w:val="32"/>
          <w:szCs w:val="32"/>
        </w:rPr>
        <w:t>2020年度“三公”经费支出共计8.48万元，较年初预算数减少26.52万元，下降75.8%；较上年支出数减少24.51万元，下降 74.3%。较年初预算和上年决算下降的主要原因：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　　</w:t>
      </w:r>
    </w:p>
    <w:p w14:paraId="68CDC4B2">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（二）“三公”经费分项支出情况　</w:t>
      </w:r>
    </w:p>
    <w:p w14:paraId="5724655A">
      <w:pPr>
        <w:pStyle w:val="5"/>
        <w:shd w:val="clear" w:color="auto" w:fill="FFFFFF"/>
        <w:spacing w:before="0" w:beforeAutospacing="0" w:after="0" w:afterAutospacing="0" w:line="560" w:lineRule="exact"/>
        <w:ind w:firstLine="800" w:firstLineChars="250"/>
        <w:jc w:val="both"/>
        <w:rPr>
          <w:rFonts w:ascii="方正仿宋_GBK" w:eastAsia="方正仿宋_GBK"/>
          <w:color w:val="000000"/>
          <w:sz w:val="32"/>
          <w:szCs w:val="32"/>
        </w:rPr>
      </w:pPr>
      <w:r>
        <w:rPr>
          <w:rFonts w:hint="eastAsia" w:ascii="方正仿宋_GBK" w:eastAsia="方正仿宋_GBK"/>
          <w:color w:val="000000"/>
          <w:sz w:val="32"/>
          <w:szCs w:val="32"/>
        </w:rPr>
        <w:t>2020年度本部门因公出国（境）费用0万元，本单位2019年度未发生因公出国（境）支出。费用支出较年初预算数增加0万元；较上年支出数增加0万元。主要原因是2019年度、2020年度均未安排因公出国（境）支出。</w:t>
      </w:r>
    </w:p>
    <w:p w14:paraId="095B273F">
      <w:pPr>
        <w:pStyle w:val="5"/>
        <w:shd w:val="clear" w:color="auto" w:fill="FFFFFF"/>
        <w:spacing w:before="0" w:beforeAutospacing="0" w:after="0" w:afterAutospacing="0" w:line="560" w:lineRule="exact"/>
        <w:ind w:firstLine="800" w:firstLineChars="250"/>
        <w:jc w:val="both"/>
        <w:rPr>
          <w:rFonts w:ascii="方正仿宋_GBK" w:eastAsia="方正仿宋_GBK"/>
          <w:color w:val="000000"/>
          <w:sz w:val="32"/>
          <w:szCs w:val="32"/>
        </w:rPr>
      </w:pPr>
      <w:r>
        <w:rPr>
          <w:rFonts w:hint="eastAsia" w:ascii="方正仿宋_GBK" w:eastAsia="方正仿宋_GBK"/>
          <w:color w:val="000000"/>
          <w:sz w:val="32"/>
          <w:szCs w:val="32"/>
        </w:rPr>
        <w:t>公务车购置费0万元，费用支出较年初预算数无增加；较上年支出数减少15.99万元。主要原因是街道在2019年经机关事务局批准购置了一辆公务车,2020年无公车购置费用。</w:t>
      </w:r>
    </w:p>
    <w:p w14:paraId="74047183">
      <w:pPr>
        <w:pStyle w:val="5"/>
        <w:shd w:val="clear" w:color="auto" w:fill="FFFFFF"/>
        <w:spacing w:before="0" w:beforeAutospacing="0" w:after="0" w:afterAutospacing="0" w:line="560" w:lineRule="exact"/>
        <w:ind w:firstLine="800" w:firstLineChars="250"/>
        <w:jc w:val="both"/>
        <w:rPr>
          <w:rFonts w:ascii="方正仿宋_GBK" w:eastAsia="方正仿宋_GBK"/>
          <w:color w:val="000000"/>
          <w:sz w:val="32"/>
          <w:szCs w:val="32"/>
        </w:rPr>
      </w:pPr>
      <w:r>
        <w:rPr>
          <w:rFonts w:hint="eastAsia" w:ascii="方正仿宋_GBK" w:eastAsia="方正仿宋_GBK"/>
          <w:color w:val="000000"/>
          <w:sz w:val="32"/>
          <w:szCs w:val="32"/>
        </w:rPr>
        <w:t>公务车运行维护费7.45万元，主要用于因公出行、业务检查等工作所需车辆的燃料费、维修费、过桥过路费、保险费等。费用支出较年初预算数减少22.55万元，下降75.2%；较上年支出数减少9.55万元，下降 56.2%。较年初预算和上年决算下降的主要原因是：严格落实公车使用规定，严禁公车私用，公车运行维护成本大幅下降。</w:t>
      </w:r>
    </w:p>
    <w:p w14:paraId="36222A41">
      <w:pPr>
        <w:pStyle w:val="5"/>
        <w:shd w:val="clear" w:color="auto" w:fill="FFFFFF"/>
        <w:spacing w:before="0" w:beforeAutospacing="0" w:after="0" w:afterAutospacing="0" w:line="560" w:lineRule="exact"/>
        <w:ind w:firstLine="800" w:firstLineChars="250"/>
        <w:jc w:val="both"/>
        <w:rPr>
          <w:rFonts w:ascii="方正仿宋_GBK" w:eastAsia="方正仿宋_GBK"/>
          <w:color w:val="000000"/>
          <w:sz w:val="32"/>
          <w:szCs w:val="32"/>
        </w:rPr>
      </w:pPr>
      <w:r>
        <w:rPr>
          <w:rFonts w:hint="eastAsia" w:ascii="方正仿宋_GBK" w:eastAsia="方正仿宋_GBK"/>
          <w:color w:val="000000"/>
          <w:sz w:val="32"/>
          <w:szCs w:val="32"/>
        </w:rPr>
        <w:t>公务接待费1.03万元。费用支出较年初预算数减少3.97万元；较上年支出数增加1.03万元。主要原因是2020年因工作安排有公务接待费。　</w:t>
      </w:r>
    </w:p>
    <w:p w14:paraId="75485ABA">
      <w:pPr>
        <w:ind w:firstLine="643" w:firstLineChars="200"/>
        <w:rPr>
          <w:rFonts w:ascii="方正仿宋_GBK" w:eastAsia="方正仿宋_GBK"/>
          <w:b/>
          <w:sz w:val="32"/>
          <w:szCs w:val="32"/>
        </w:rPr>
      </w:pPr>
      <w:r>
        <w:rPr>
          <w:rFonts w:hint="eastAsia" w:ascii="方正仿宋_GBK" w:hAnsi="宋体" w:eastAsia="方正仿宋_GBK" w:cs="宋体"/>
          <w:b/>
          <w:color w:val="000000"/>
          <w:kern w:val="0"/>
          <w:sz w:val="32"/>
          <w:szCs w:val="32"/>
        </w:rPr>
        <w:t>（三）“三公”经费实物量情况　　</w:t>
      </w:r>
    </w:p>
    <w:p w14:paraId="44F3CDCC">
      <w:pPr>
        <w:ind w:firstLine="640" w:firstLineChars="200"/>
        <w:rPr>
          <w:rFonts w:ascii="方正仿宋_GBK" w:eastAsia="方正仿宋_GBK"/>
          <w:b/>
          <w:sz w:val="32"/>
          <w:szCs w:val="32"/>
        </w:rPr>
      </w:pPr>
      <w:r>
        <w:rPr>
          <w:rFonts w:hint="eastAsia" w:ascii="方正仿宋_GBK" w:hAnsi="宋体" w:eastAsia="方正仿宋_GBK" w:cs="宋体"/>
          <w:color w:val="000000"/>
          <w:kern w:val="0"/>
          <w:sz w:val="32"/>
          <w:szCs w:val="32"/>
        </w:rPr>
        <w:t>海棠溪街道 2020年因公出国（境）共计0个团组，0人；公务用车购置0辆，保有量为6辆；国内公务接待52批次，258人，其中：国内外事接待0批次，0人；国（境）外公务接待0批次，0人。2020年海棠溪街道人均接待费39.9元，车均维护费1.24万元。　　</w:t>
      </w:r>
    </w:p>
    <w:p w14:paraId="1FAF38F8">
      <w:pPr>
        <w:ind w:firstLine="640" w:firstLineChars="200"/>
        <w:rPr>
          <w:rFonts w:ascii="黑体" w:hAnsi="黑体" w:eastAsia="黑体"/>
          <w:sz w:val="32"/>
          <w:szCs w:val="32"/>
        </w:rPr>
      </w:pPr>
      <w:r>
        <w:rPr>
          <w:rFonts w:hint="eastAsia" w:ascii="黑体" w:hAnsi="黑体" w:eastAsia="黑体" w:cs="宋体"/>
          <w:color w:val="000000"/>
          <w:kern w:val="0"/>
          <w:sz w:val="32"/>
          <w:szCs w:val="32"/>
        </w:rPr>
        <w:t xml:space="preserve">四、其他需要说明的事项　　 </w:t>
      </w:r>
    </w:p>
    <w:p w14:paraId="3475B388">
      <w:pPr>
        <w:ind w:firstLine="643" w:firstLineChars="20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（一）机关运行经费情况说明</w:t>
      </w:r>
    </w:p>
    <w:p w14:paraId="50432535">
      <w:pPr>
        <w:pStyle w:val="5"/>
        <w:shd w:val="clear" w:color="auto" w:fill="FFFFFF"/>
        <w:spacing w:before="0" w:beforeAutospacing="0" w:after="0" w:afterAutospacing="0" w:line="600" w:lineRule="exact"/>
        <w:ind w:firstLine="64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2020年度本部门机关运行经费支出526.39万元，机关运行经费主要用于开支办公费、水电费、邮电费、公务车运行维护费、差旅费等。机关运行经费较上年决算数增加250.37万元，增长90.7%，主要</w:t>
      </w:r>
      <w:r>
        <w:rPr>
          <w:rFonts w:hint="eastAsia" w:ascii="方正仿宋_GBK" w:hAnsi="Calibri" w:eastAsia="方正仿宋_GBK" w:cs="Times New Roman"/>
          <w:kern w:val="2"/>
          <w:sz w:val="32"/>
          <w:szCs w:val="32"/>
          <w:lang w:eastAsia="zh-CN"/>
        </w:rPr>
        <w:t>原因是</w:t>
      </w:r>
      <w:r>
        <w:rPr>
          <w:rFonts w:hint="eastAsia" w:ascii="方正仿宋_GBK" w:hAnsi="Calibri" w:eastAsia="方正仿宋_GBK" w:cs="Times New Roman"/>
          <w:kern w:val="2"/>
          <w:sz w:val="32"/>
          <w:szCs w:val="32"/>
        </w:rPr>
        <w:t>部分商品价格上涨。</w:t>
      </w:r>
    </w:p>
    <w:p w14:paraId="2503C002">
      <w:pPr>
        <w:pStyle w:val="5"/>
        <w:shd w:val="clear" w:color="auto" w:fill="FFFFFF"/>
        <w:spacing w:before="0" w:beforeAutospacing="0" w:after="0" w:afterAutospacing="0" w:line="560" w:lineRule="exact"/>
        <w:ind w:firstLine="800" w:firstLineChars="250"/>
        <w:jc w:val="both"/>
        <w:rPr>
          <w:rFonts w:ascii="方正仿宋_GBK" w:eastAsia="方正仿宋_GBK"/>
          <w:color w:val="000000"/>
          <w:sz w:val="32"/>
          <w:szCs w:val="32"/>
        </w:rPr>
      </w:pPr>
      <w:r>
        <w:rPr>
          <w:rFonts w:hint="eastAsia" w:ascii="方正仿宋_GBK" w:hAnsi="Calibri" w:eastAsia="方正仿宋_GBK" w:cs="Times New Roman"/>
          <w:kern w:val="2"/>
          <w:sz w:val="32"/>
          <w:szCs w:val="32"/>
        </w:rPr>
        <w:t>其中：</w:t>
      </w:r>
      <w:r>
        <w:rPr>
          <w:rFonts w:hint="eastAsia" w:ascii="方正仿宋_GBK" w:eastAsia="方正仿宋_GBK"/>
          <w:color w:val="000000"/>
          <w:sz w:val="32"/>
          <w:szCs w:val="32"/>
        </w:rPr>
        <w:t>本单位2020年度未发生会议费，较上年支出数增加0万元。主要原因是2020年度无大型会议安排。　</w:t>
      </w:r>
    </w:p>
    <w:p w14:paraId="7F0A1566">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（二）国有资产占用情况说明</w:t>
      </w:r>
    </w:p>
    <w:p w14:paraId="08AE282E">
      <w:pPr>
        <w:ind w:firstLine="640" w:firstLineChars="200"/>
        <w:rPr>
          <w:rFonts w:ascii="方正仿宋_GBK" w:eastAsia="方正仿宋_GBK"/>
          <w:sz w:val="32"/>
          <w:szCs w:val="32"/>
        </w:rPr>
      </w:pPr>
      <w:r>
        <w:rPr>
          <w:rFonts w:hint="eastAsia" w:ascii="方正仿宋_GBK" w:eastAsia="方正仿宋_GBK"/>
          <w:sz w:val="32"/>
          <w:szCs w:val="32"/>
        </w:rPr>
        <w:t>截至2020年12月31日，本部门共有车辆6辆，其中，副部（省）级及以上领导用车0辆、主要领导干部用车0辆、机要通信用车0辆、应急保障用车6辆、执法执勤用车0辆，特种专业技术用车0辆，离退休干部用车0辆，其他用车0辆。</w:t>
      </w:r>
    </w:p>
    <w:p w14:paraId="3786EAB4">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（三）政府采购支出情况说明</w:t>
      </w:r>
    </w:p>
    <w:p w14:paraId="4B056A83">
      <w:pPr>
        <w:ind w:firstLine="640" w:firstLineChars="200"/>
        <w:rPr>
          <w:rFonts w:ascii="方正仿宋_GBK" w:eastAsia="方正仿宋_GBK"/>
          <w:sz w:val="32"/>
          <w:szCs w:val="32"/>
        </w:rPr>
      </w:pPr>
      <w:r>
        <w:rPr>
          <w:rFonts w:hint="eastAsia" w:ascii="方正仿宋_GBK" w:eastAsia="方正仿宋_GBK"/>
          <w:sz w:val="32"/>
          <w:szCs w:val="32"/>
        </w:rPr>
        <w:t>2020年度本部门政府采购支出总额1598.15万元，其中：政府采购货物支出169.73万元、政府采购工程支出186.94万元、政府采购服务支出1241.49万元。授予中小企业合同金额1518.15万元，占政府采购支出总额的95.0%，其中：授予小微企业合同金额1518.15万元，占政府采购支出总额的95.0%。主要用于采购电脑、打印机等办公设备以及机关食堂食材配送服务等。</w:t>
      </w:r>
    </w:p>
    <w:p w14:paraId="5084D77B">
      <w:pPr>
        <w:ind w:firstLine="640" w:firstLineChars="200"/>
        <w:rPr>
          <w:rStyle w:val="8"/>
          <w:rFonts w:ascii="黑体" w:hAnsi="黑体" w:eastAsia="黑体"/>
          <w:b w:val="0"/>
          <w:sz w:val="32"/>
          <w:szCs w:val="32"/>
        </w:rPr>
      </w:pPr>
      <w:r>
        <w:rPr>
          <w:rStyle w:val="8"/>
          <w:rFonts w:hint="eastAsia" w:ascii="黑体" w:hAnsi="黑体" w:eastAsia="黑体"/>
          <w:b w:val="0"/>
          <w:sz w:val="32"/>
          <w:szCs w:val="32"/>
        </w:rPr>
        <w:t>五、预算绩效管理情况说明</w:t>
      </w:r>
    </w:p>
    <w:p w14:paraId="6F905712">
      <w:pPr>
        <w:ind w:firstLine="643" w:firstLineChars="200"/>
        <w:rPr>
          <w:rFonts w:ascii="方正仿宋_GBK" w:eastAsia="方正仿宋_GBK"/>
          <w:b/>
          <w:bCs/>
          <w:sz w:val="32"/>
          <w:szCs w:val="32"/>
        </w:rPr>
      </w:pPr>
      <w:r>
        <w:rPr>
          <w:rFonts w:hint="eastAsia" w:ascii="方正仿宋_GBK" w:eastAsia="方正仿宋_GBK"/>
          <w:b/>
          <w:sz w:val="32"/>
          <w:szCs w:val="32"/>
        </w:rPr>
        <w:t>（一）预算绩效管理工作开展情况</w:t>
      </w:r>
    </w:p>
    <w:p w14:paraId="591C727B">
      <w:pPr>
        <w:ind w:firstLine="64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根据预算绩效管理要求，本部门对24个项目开展了绩效自评，其中，以填报目标自评表形式开展自评24项，涉及资金5964.46万元，从评价情况来看，各个项目支出均按照相关立项依据立项，项目支出专款专用，按项目实施进度计划执行，均完成项目当年绩效目标。</w:t>
      </w:r>
    </w:p>
    <w:p w14:paraId="098A159D">
      <w:pPr>
        <w:ind w:firstLine="643" w:firstLineChars="200"/>
        <w:rPr>
          <w:rFonts w:ascii="方正仿宋_GBK" w:eastAsia="方正仿宋_GBK"/>
          <w:b/>
          <w:sz w:val="32"/>
          <w:szCs w:val="32"/>
        </w:rPr>
      </w:pPr>
      <w:r>
        <w:rPr>
          <w:rFonts w:hint="eastAsia" w:ascii="方正仿宋_GBK" w:eastAsia="方正仿宋_GBK"/>
          <w:b/>
          <w:sz w:val="32"/>
          <w:szCs w:val="32"/>
        </w:rPr>
        <w:t>（二）绩效自评结果</w:t>
      </w:r>
    </w:p>
    <w:p w14:paraId="0D444D04">
      <w:pPr>
        <w:pStyle w:val="5"/>
        <w:shd w:val="clear" w:color="auto" w:fill="FFFFFF"/>
        <w:spacing w:before="0" w:beforeAutospacing="0" w:after="0" w:afterAutospacing="0" w:line="600" w:lineRule="exact"/>
        <w:ind w:firstLine="640"/>
        <w:jc w:val="both"/>
        <w:rPr>
          <w:rFonts w:ascii="方正仿宋_GBK" w:eastAsia="方正仿宋_GBK"/>
          <w:color w:val="000000"/>
          <w:sz w:val="32"/>
          <w:szCs w:val="32"/>
        </w:rPr>
      </w:pPr>
      <w:r>
        <w:rPr>
          <w:rFonts w:hint="eastAsia" w:ascii="方正仿宋_GBK" w:eastAsia="方正仿宋_GBK"/>
          <w:color w:val="000000"/>
          <w:sz w:val="32"/>
          <w:szCs w:val="32"/>
        </w:rPr>
        <w:t>防汛抢险灾后重建经费项目绩效目标自评综述：根据年初设定的绩效目标，该项目自评得分为100分，项目全年预算数为413万元，执行数为413万元，完成预算的100%。主要产出和效果：一是最大限度减轻了洪水灾害的影响和损失，二是确保了人民群众生命财产安全，三是推进了经济运行早日恢复。发现的问题：办事效率及处理突发事件的质量需进一步提高，进一步提升群众满意率。改进措施：下一步将不断完善和提高处置突发事件的方法及应变能力，提高办事效率及服务质量。</w:t>
      </w:r>
    </w:p>
    <w:p w14:paraId="18EBBB94">
      <w:pPr>
        <w:pStyle w:val="11"/>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绩效目标自评具体情况见下表：</w:t>
      </w:r>
    </w:p>
    <w:tbl>
      <w:tblPr>
        <w:tblStyle w:val="6"/>
        <w:tblW w:w="11058" w:type="dxa"/>
        <w:tblInd w:w="-885" w:type="dxa"/>
        <w:tblLayout w:type="autofit"/>
        <w:tblCellMar>
          <w:top w:w="0" w:type="dxa"/>
          <w:left w:w="108" w:type="dxa"/>
          <w:bottom w:w="0" w:type="dxa"/>
          <w:right w:w="108" w:type="dxa"/>
        </w:tblCellMar>
      </w:tblPr>
      <w:tblGrid>
        <w:gridCol w:w="858"/>
        <w:gridCol w:w="829"/>
        <w:gridCol w:w="2375"/>
        <w:gridCol w:w="936"/>
        <w:gridCol w:w="747"/>
        <w:gridCol w:w="591"/>
        <w:gridCol w:w="824"/>
        <w:gridCol w:w="772"/>
        <w:gridCol w:w="824"/>
        <w:gridCol w:w="824"/>
        <w:gridCol w:w="1478"/>
      </w:tblGrid>
      <w:tr w14:paraId="65B33E76">
        <w:trPr>
          <w:trHeight w:val="601" w:hRule="atLeast"/>
        </w:trPr>
        <w:tc>
          <w:tcPr>
            <w:tcW w:w="11058" w:type="dxa"/>
            <w:gridSpan w:val="11"/>
            <w:tcBorders>
              <w:top w:val="nil"/>
              <w:left w:val="nil"/>
              <w:bottom w:val="nil"/>
              <w:right w:val="nil"/>
            </w:tcBorders>
            <w:shd w:val="clear" w:color="auto" w:fill="auto"/>
            <w:vAlign w:val="center"/>
          </w:tcPr>
          <w:p w14:paraId="19D55511">
            <w:pPr>
              <w:autoSpaceDN w:val="0"/>
              <w:rPr>
                <w:rFonts w:ascii="方正小标宋_GBK" w:eastAsia="方正小标宋_GBK"/>
                <w:color w:val="000000"/>
                <w:sz w:val="36"/>
                <w:szCs w:val="36"/>
              </w:rPr>
            </w:pPr>
          </w:p>
          <w:p w14:paraId="11E9ED97">
            <w:pPr>
              <w:autoSpaceDN w:val="0"/>
              <w:jc w:val="center"/>
              <w:rPr>
                <w:rFonts w:ascii="方正小标宋_GBK" w:eastAsia="方正小标宋_GBK"/>
                <w:color w:val="000000"/>
                <w:sz w:val="36"/>
                <w:szCs w:val="36"/>
              </w:rPr>
            </w:pPr>
            <w:r>
              <w:rPr>
                <w:rFonts w:hint="eastAsia" w:ascii="方正小标宋_GBK" w:eastAsia="方正小标宋_GBK"/>
                <w:bCs/>
                <w:color w:val="000000"/>
                <w:sz w:val="36"/>
                <w:szCs w:val="36"/>
              </w:rPr>
              <w:t>2020年预算项目绩效目标自评表</w:t>
            </w:r>
          </w:p>
        </w:tc>
      </w:tr>
      <w:tr w14:paraId="652D5320">
        <w:tblPrEx>
          <w:tblCellMar>
            <w:top w:w="0" w:type="dxa"/>
            <w:left w:w="108" w:type="dxa"/>
            <w:bottom w:w="0" w:type="dxa"/>
            <w:right w:w="108" w:type="dxa"/>
          </w:tblCellMar>
        </w:tblPrEx>
        <w:trPr>
          <w:trHeight w:val="601"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0DF69DB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项目名称</w:t>
            </w:r>
          </w:p>
        </w:tc>
        <w:tc>
          <w:tcPr>
            <w:tcW w:w="3205" w:type="dxa"/>
            <w:gridSpan w:val="2"/>
            <w:tcBorders>
              <w:top w:val="single" w:color="auto" w:sz="4" w:space="0"/>
              <w:left w:val="nil"/>
              <w:bottom w:val="single" w:color="auto" w:sz="4" w:space="0"/>
              <w:right w:val="single" w:color="000000" w:sz="4" w:space="0"/>
            </w:tcBorders>
            <w:shd w:val="clear" w:color="auto" w:fill="auto"/>
            <w:vAlign w:val="center"/>
          </w:tcPr>
          <w:p w14:paraId="0EA2C45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防汛抢险灾后重建经费</w:t>
            </w:r>
          </w:p>
        </w:tc>
        <w:tc>
          <w:tcPr>
            <w:tcW w:w="0" w:type="auto"/>
            <w:tcBorders>
              <w:top w:val="single" w:color="auto" w:sz="4" w:space="0"/>
              <w:left w:val="nil"/>
              <w:bottom w:val="single" w:color="auto" w:sz="4" w:space="0"/>
              <w:right w:val="single" w:color="auto" w:sz="4" w:space="0"/>
            </w:tcBorders>
            <w:shd w:val="clear" w:color="auto" w:fill="auto"/>
            <w:vAlign w:val="center"/>
          </w:tcPr>
          <w:p w14:paraId="364D2CA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52E74C5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2020B1066　</w:t>
            </w:r>
          </w:p>
        </w:tc>
        <w:tc>
          <w:tcPr>
            <w:tcW w:w="0" w:type="auto"/>
            <w:tcBorders>
              <w:top w:val="single" w:color="auto" w:sz="4" w:space="0"/>
              <w:left w:val="nil"/>
              <w:bottom w:val="single" w:color="auto" w:sz="4" w:space="0"/>
              <w:right w:val="single" w:color="auto" w:sz="4" w:space="0"/>
            </w:tcBorders>
            <w:shd w:val="clear" w:color="auto" w:fill="auto"/>
            <w:vAlign w:val="center"/>
          </w:tcPr>
          <w:p w14:paraId="7924A33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3923" w:type="dxa"/>
            <w:gridSpan w:val="4"/>
            <w:tcBorders>
              <w:top w:val="single" w:color="auto" w:sz="4" w:space="0"/>
              <w:left w:val="nil"/>
              <w:bottom w:val="single" w:color="auto" w:sz="4" w:space="0"/>
              <w:right w:val="single" w:color="000000" w:sz="4" w:space="0"/>
            </w:tcBorders>
            <w:shd w:val="clear" w:color="auto" w:fill="auto"/>
            <w:vAlign w:val="center"/>
          </w:tcPr>
          <w:p w14:paraId="7D7FD04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100分</w:t>
            </w:r>
          </w:p>
        </w:tc>
      </w:tr>
      <w:tr w14:paraId="63108D33">
        <w:tblPrEx>
          <w:tblCellMar>
            <w:top w:w="0" w:type="dxa"/>
            <w:left w:w="108" w:type="dxa"/>
            <w:bottom w:w="0" w:type="dxa"/>
            <w:right w:w="108" w:type="dxa"/>
          </w:tblCellMar>
        </w:tblPrEx>
        <w:trPr>
          <w:trHeight w:val="601" w:hRule="atLeast"/>
        </w:trPr>
        <w:tc>
          <w:tcPr>
            <w:tcW w:w="858" w:type="dxa"/>
            <w:tcBorders>
              <w:top w:val="nil"/>
              <w:left w:val="single" w:color="auto" w:sz="4" w:space="0"/>
              <w:bottom w:val="single" w:color="auto" w:sz="4" w:space="0"/>
              <w:right w:val="single" w:color="auto" w:sz="4" w:space="0"/>
            </w:tcBorders>
            <w:shd w:val="clear" w:color="auto" w:fill="auto"/>
            <w:vAlign w:val="center"/>
          </w:tcPr>
          <w:p w14:paraId="4CB54A9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主管部门</w:t>
            </w:r>
          </w:p>
        </w:tc>
        <w:tc>
          <w:tcPr>
            <w:tcW w:w="3205" w:type="dxa"/>
            <w:gridSpan w:val="2"/>
            <w:tcBorders>
              <w:top w:val="single" w:color="auto" w:sz="4" w:space="0"/>
              <w:left w:val="nil"/>
              <w:bottom w:val="single" w:color="auto" w:sz="4" w:space="0"/>
              <w:right w:val="single" w:color="000000" w:sz="4" w:space="0"/>
            </w:tcBorders>
            <w:shd w:val="clear" w:color="auto" w:fill="auto"/>
            <w:vAlign w:val="center"/>
          </w:tcPr>
          <w:p w14:paraId="3646742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海棠溪街道办事处</w:t>
            </w:r>
          </w:p>
        </w:tc>
        <w:tc>
          <w:tcPr>
            <w:tcW w:w="0" w:type="auto"/>
            <w:tcBorders>
              <w:top w:val="nil"/>
              <w:left w:val="nil"/>
              <w:bottom w:val="single" w:color="auto" w:sz="4" w:space="0"/>
              <w:right w:val="single" w:color="auto" w:sz="4" w:space="0"/>
            </w:tcBorders>
            <w:shd w:val="clear" w:color="auto" w:fill="auto"/>
            <w:vAlign w:val="center"/>
          </w:tcPr>
          <w:p w14:paraId="23C9EA3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财政处室</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14:paraId="7A514CB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社保科</w:t>
            </w:r>
          </w:p>
        </w:tc>
        <w:tc>
          <w:tcPr>
            <w:tcW w:w="0" w:type="auto"/>
            <w:tcBorders>
              <w:top w:val="nil"/>
              <w:left w:val="nil"/>
              <w:bottom w:val="single" w:color="auto" w:sz="4" w:space="0"/>
              <w:right w:val="single" w:color="auto" w:sz="4" w:space="0"/>
            </w:tcBorders>
            <w:shd w:val="clear" w:color="auto" w:fill="auto"/>
            <w:vAlign w:val="center"/>
          </w:tcPr>
          <w:p w14:paraId="6CB4330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0" w:type="auto"/>
            <w:tcBorders>
              <w:top w:val="nil"/>
              <w:left w:val="nil"/>
              <w:bottom w:val="single" w:color="auto" w:sz="4" w:space="0"/>
              <w:right w:val="single" w:color="auto" w:sz="4" w:space="0"/>
            </w:tcBorders>
            <w:shd w:val="clear" w:color="auto" w:fill="auto"/>
            <w:vAlign w:val="center"/>
          </w:tcPr>
          <w:p w14:paraId="6003158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黄丹荔　</w:t>
            </w:r>
          </w:p>
        </w:tc>
        <w:tc>
          <w:tcPr>
            <w:tcW w:w="0" w:type="auto"/>
            <w:tcBorders>
              <w:top w:val="nil"/>
              <w:left w:val="nil"/>
              <w:bottom w:val="single" w:color="auto" w:sz="4" w:space="0"/>
              <w:right w:val="single" w:color="auto" w:sz="4" w:space="0"/>
            </w:tcBorders>
            <w:shd w:val="clear" w:color="auto" w:fill="auto"/>
            <w:vAlign w:val="center"/>
          </w:tcPr>
          <w:p w14:paraId="59F9A2F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联系电话</w:t>
            </w:r>
          </w:p>
        </w:tc>
        <w:tc>
          <w:tcPr>
            <w:tcW w:w="2321" w:type="dxa"/>
            <w:gridSpan w:val="2"/>
            <w:tcBorders>
              <w:top w:val="single" w:color="auto" w:sz="4" w:space="0"/>
              <w:left w:val="nil"/>
              <w:bottom w:val="single" w:color="auto" w:sz="4" w:space="0"/>
              <w:right w:val="single" w:color="000000" w:sz="4" w:space="0"/>
            </w:tcBorders>
            <w:shd w:val="clear" w:color="auto" w:fill="auto"/>
            <w:vAlign w:val="center"/>
          </w:tcPr>
          <w:p w14:paraId="1DC85FF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62883101</w:t>
            </w:r>
          </w:p>
        </w:tc>
      </w:tr>
      <w:tr w14:paraId="6AE9F85A">
        <w:tblPrEx>
          <w:tblCellMar>
            <w:top w:w="0" w:type="dxa"/>
            <w:left w:w="108" w:type="dxa"/>
            <w:bottom w:w="0" w:type="dxa"/>
            <w:right w:w="108" w:type="dxa"/>
          </w:tblCellMar>
        </w:tblPrEx>
        <w:trPr>
          <w:cantSplit/>
          <w:trHeight w:val="601" w:hRule="atLeast"/>
        </w:trPr>
        <w:tc>
          <w:tcPr>
            <w:tcW w:w="858" w:type="dxa"/>
            <w:vMerge w:val="restart"/>
            <w:tcBorders>
              <w:top w:val="nil"/>
              <w:left w:val="single" w:color="auto" w:sz="4" w:space="0"/>
              <w:bottom w:val="single" w:color="auto" w:sz="4" w:space="0"/>
              <w:right w:val="single" w:color="auto" w:sz="4" w:space="0"/>
            </w:tcBorders>
            <w:shd w:val="clear" w:color="auto" w:fill="auto"/>
            <w:vAlign w:val="center"/>
          </w:tcPr>
          <w:p w14:paraId="7D82838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项目资金（万元）</w:t>
            </w:r>
          </w:p>
        </w:tc>
        <w:tc>
          <w:tcPr>
            <w:tcW w:w="829" w:type="dxa"/>
            <w:tcBorders>
              <w:top w:val="nil"/>
              <w:left w:val="nil"/>
              <w:bottom w:val="single" w:color="auto" w:sz="4" w:space="0"/>
              <w:right w:val="nil"/>
            </w:tcBorders>
            <w:shd w:val="clear" w:color="auto" w:fill="auto"/>
            <w:vAlign w:val="center"/>
          </w:tcPr>
          <w:p w14:paraId="2CAC389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51F6B7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7BCE12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39D6987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14:paraId="4F4E8AF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69A3EDF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1478" w:type="dxa"/>
            <w:tcBorders>
              <w:top w:val="nil"/>
              <w:left w:val="nil"/>
              <w:bottom w:val="single" w:color="auto" w:sz="4" w:space="0"/>
              <w:right w:val="single" w:color="auto" w:sz="4" w:space="0"/>
            </w:tcBorders>
            <w:shd w:val="clear" w:color="auto" w:fill="auto"/>
            <w:vAlign w:val="center"/>
          </w:tcPr>
          <w:p w14:paraId="1050730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14:paraId="6CD9E9D3">
        <w:tblPrEx>
          <w:tblCellMar>
            <w:top w:w="0" w:type="dxa"/>
            <w:left w:w="108" w:type="dxa"/>
            <w:bottom w:w="0" w:type="dxa"/>
            <w:right w:w="108" w:type="dxa"/>
          </w:tblCellMar>
        </w:tblPrEx>
        <w:trPr>
          <w:cantSplit/>
          <w:trHeight w:val="601" w:hRule="atLeast"/>
        </w:trPr>
        <w:tc>
          <w:tcPr>
            <w:tcW w:w="858" w:type="dxa"/>
            <w:vMerge w:val="continue"/>
            <w:tcBorders>
              <w:top w:val="nil"/>
              <w:left w:val="single" w:color="auto" w:sz="4" w:space="0"/>
              <w:bottom w:val="single" w:color="auto" w:sz="4" w:space="0"/>
              <w:right w:val="single" w:color="auto" w:sz="4" w:space="0"/>
            </w:tcBorders>
            <w:vAlign w:val="center"/>
          </w:tcPr>
          <w:p w14:paraId="04D67ACA">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5CD30CC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年度总金额</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9A93D9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413.00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66A21A1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413.00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0975303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413.00　</w:t>
            </w:r>
          </w:p>
        </w:tc>
        <w:tc>
          <w:tcPr>
            <w:tcW w:w="0" w:type="auto"/>
            <w:tcBorders>
              <w:top w:val="nil"/>
              <w:left w:val="nil"/>
              <w:bottom w:val="single" w:color="auto" w:sz="4" w:space="0"/>
              <w:right w:val="single" w:color="auto" w:sz="4" w:space="0"/>
            </w:tcBorders>
            <w:shd w:val="clear" w:color="auto" w:fill="auto"/>
            <w:vAlign w:val="center"/>
          </w:tcPr>
          <w:p w14:paraId="00B438F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nil"/>
              <w:bottom w:val="single" w:color="auto" w:sz="4" w:space="0"/>
              <w:right w:val="single" w:color="auto" w:sz="4" w:space="0"/>
            </w:tcBorders>
            <w:shd w:val="clear" w:color="auto" w:fill="auto"/>
            <w:vAlign w:val="center"/>
          </w:tcPr>
          <w:p w14:paraId="0299B513">
            <w:pPr>
              <w:autoSpaceDN w:val="0"/>
              <w:jc w:val="center"/>
              <w:rPr>
                <w:rFonts w:ascii="方正仿宋_GBK" w:eastAsia="方正仿宋_GBK"/>
                <w:sz w:val="18"/>
                <w:szCs w:val="18"/>
              </w:rPr>
            </w:pPr>
            <w:r>
              <w:rPr>
                <w:rFonts w:hint="eastAsia" w:ascii="方正仿宋_GBK" w:eastAsia="方正仿宋_GBK"/>
                <w:sz w:val="18"/>
                <w:szCs w:val="18"/>
              </w:rPr>
              <w:t>　100</w:t>
            </w:r>
          </w:p>
        </w:tc>
        <w:tc>
          <w:tcPr>
            <w:tcW w:w="1478" w:type="dxa"/>
            <w:tcBorders>
              <w:top w:val="nil"/>
              <w:left w:val="nil"/>
              <w:bottom w:val="single" w:color="auto" w:sz="4" w:space="0"/>
              <w:right w:val="single" w:color="auto" w:sz="4" w:space="0"/>
            </w:tcBorders>
            <w:shd w:val="clear" w:color="auto" w:fill="auto"/>
            <w:vAlign w:val="center"/>
          </w:tcPr>
          <w:p w14:paraId="3D4A5BB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　</w:t>
            </w:r>
          </w:p>
        </w:tc>
      </w:tr>
      <w:tr w14:paraId="4BCF6812">
        <w:tblPrEx>
          <w:tblCellMar>
            <w:top w:w="0" w:type="dxa"/>
            <w:left w:w="108" w:type="dxa"/>
            <w:bottom w:w="0" w:type="dxa"/>
            <w:right w:w="108" w:type="dxa"/>
          </w:tblCellMar>
        </w:tblPrEx>
        <w:trPr>
          <w:cantSplit/>
          <w:trHeight w:val="601" w:hRule="atLeast"/>
        </w:trPr>
        <w:tc>
          <w:tcPr>
            <w:tcW w:w="858" w:type="dxa"/>
            <w:vMerge w:val="continue"/>
            <w:tcBorders>
              <w:top w:val="nil"/>
              <w:left w:val="single" w:color="auto" w:sz="4" w:space="0"/>
              <w:bottom w:val="single" w:color="auto" w:sz="4" w:space="0"/>
              <w:right w:val="single" w:color="auto" w:sz="4" w:space="0"/>
            </w:tcBorders>
            <w:vAlign w:val="center"/>
          </w:tcPr>
          <w:p w14:paraId="151A0B3E">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46F2A009">
            <w:pPr>
              <w:wordWrap w:val="0"/>
              <w:autoSpaceDN w:val="0"/>
              <w:jc w:val="right"/>
              <w:rPr>
                <w:rFonts w:ascii="方正仿宋_GBK" w:eastAsia="方正仿宋_GBK"/>
                <w:color w:val="000000"/>
                <w:sz w:val="18"/>
                <w:szCs w:val="18"/>
              </w:rPr>
            </w:pPr>
            <w:r>
              <w:rPr>
                <w:rFonts w:hint="eastAsia" w:ascii="方正仿宋_GBK" w:eastAsia="方正仿宋_GBK"/>
                <w:color w:val="000000"/>
                <w:sz w:val="18"/>
                <w:szCs w:val="18"/>
              </w:rPr>
              <w:t>其中：区级支出</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15B4C2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4C5076D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14:paraId="10D7150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6EC7B83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nil"/>
              <w:bottom w:val="single" w:color="auto" w:sz="4" w:space="0"/>
              <w:right w:val="single" w:color="auto" w:sz="4" w:space="0"/>
            </w:tcBorders>
            <w:shd w:val="clear" w:color="auto" w:fill="auto"/>
            <w:vAlign w:val="center"/>
          </w:tcPr>
          <w:p w14:paraId="2026A31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1478" w:type="dxa"/>
            <w:tcBorders>
              <w:top w:val="nil"/>
              <w:left w:val="nil"/>
              <w:bottom w:val="single" w:color="auto" w:sz="4" w:space="0"/>
              <w:right w:val="single" w:color="auto" w:sz="4" w:space="0"/>
            </w:tcBorders>
            <w:shd w:val="clear" w:color="auto" w:fill="auto"/>
            <w:vAlign w:val="center"/>
          </w:tcPr>
          <w:p w14:paraId="42E2882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r>
      <w:tr w14:paraId="54FEF256">
        <w:tblPrEx>
          <w:tblCellMar>
            <w:top w:w="0" w:type="dxa"/>
            <w:left w:w="108" w:type="dxa"/>
            <w:bottom w:w="0" w:type="dxa"/>
            <w:right w:w="108" w:type="dxa"/>
          </w:tblCellMar>
        </w:tblPrEx>
        <w:trPr>
          <w:cantSplit/>
          <w:trHeight w:val="601" w:hRule="atLeast"/>
        </w:trPr>
        <w:tc>
          <w:tcPr>
            <w:tcW w:w="858" w:type="dxa"/>
            <w:vMerge w:val="restart"/>
            <w:tcBorders>
              <w:top w:val="nil"/>
              <w:left w:val="single" w:color="auto" w:sz="4" w:space="0"/>
              <w:bottom w:val="single" w:color="auto" w:sz="4" w:space="0"/>
              <w:right w:val="single" w:color="auto" w:sz="4" w:space="0"/>
            </w:tcBorders>
            <w:shd w:val="clear" w:color="auto" w:fill="auto"/>
            <w:vAlign w:val="center"/>
          </w:tcPr>
          <w:p w14:paraId="7F0361B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当年绩效目标</w:t>
            </w:r>
          </w:p>
        </w:tc>
        <w:tc>
          <w:tcPr>
            <w:tcW w:w="4141" w:type="dxa"/>
            <w:gridSpan w:val="3"/>
            <w:tcBorders>
              <w:top w:val="single" w:color="auto" w:sz="4" w:space="0"/>
              <w:left w:val="nil"/>
              <w:bottom w:val="single" w:color="auto" w:sz="4" w:space="0"/>
              <w:right w:val="single" w:color="000000" w:sz="4" w:space="0"/>
            </w:tcBorders>
            <w:shd w:val="clear" w:color="auto" w:fill="auto"/>
            <w:vAlign w:val="center"/>
          </w:tcPr>
          <w:p w14:paraId="2865CA9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年初绩效目标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14:paraId="7C6888E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全年（调整）绩效目标</w:t>
            </w:r>
          </w:p>
        </w:tc>
        <w:tc>
          <w:tcPr>
            <w:tcW w:w="3152" w:type="dxa"/>
            <w:gridSpan w:val="3"/>
            <w:tcBorders>
              <w:top w:val="single" w:color="auto" w:sz="4" w:space="0"/>
              <w:left w:val="nil"/>
              <w:bottom w:val="single" w:color="auto" w:sz="4" w:space="0"/>
              <w:right w:val="single" w:color="000000" w:sz="4" w:space="0"/>
            </w:tcBorders>
            <w:shd w:val="clear" w:color="auto" w:fill="auto"/>
            <w:vAlign w:val="center"/>
          </w:tcPr>
          <w:p w14:paraId="446E0E1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全年目标实际完成情况</w:t>
            </w:r>
          </w:p>
        </w:tc>
      </w:tr>
      <w:tr w14:paraId="3EA58C24">
        <w:tblPrEx>
          <w:tblCellMar>
            <w:top w:w="0" w:type="dxa"/>
            <w:left w:w="108" w:type="dxa"/>
            <w:bottom w:w="0" w:type="dxa"/>
            <w:right w:w="108" w:type="dxa"/>
          </w:tblCellMar>
        </w:tblPrEx>
        <w:trPr>
          <w:cantSplit/>
          <w:trHeight w:val="1352" w:hRule="atLeast"/>
        </w:trPr>
        <w:tc>
          <w:tcPr>
            <w:tcW w:w="858" w:type="dxa"/>
            <w:vMerge w:val="continue"/>
            <w:tcBorders>
              <w:top w:val="nil"/>
              <w:left w:val="single" w:color="auto" w:sz="4" w:space="0"/>
              <w:bottom w:val="single" w:color="auto" w:sz="4" w:space="0"/>
              <w:right w:val="single" w:color="auto" w:sz="4" w:space="0"/>
            </w:tcBorders>
            <w:vAlign w:val="center"/>
          </w:tcPr>
          <w:p w14:paraId="143235A8">
            <w:pPr>
              <w:rPr>
                <w:rFonts w:ascii="方正仿宋_GBK" w:eastAsia="方正仿宋_GBK"/>
                <w:color w:val="000000"/>
                <w:sz w:val="18"/>
                <w:szCs w:val="18"/>
              </w:rPr>
            </w:pPr>
          </w:p>
        </w:tc>
        <w:tc>
          <w:tcPr>
            <w:tcW w:w="4141" w:type="dxa"/>
            <w:gridSpan w:val="3"/>
            <w:tcBorders>
              <w:top w:val="single" w:color="auto" w:sz="4" w:space="0"/>
              <w:left w:val="nil"/>
              <w:bottom w:val="single" w:color="auto" w:sz="4" w:space="0"/>
              <w:right w:val="single" w:color="000000" w:sz="4" w:space="0"/>
            </w:tcBorders>
            <w:shd w:val="clear" w:color="auto" w:fill="auto"/>
            <w:vAlign w:val="center"/>
          </w:tcPr>
          <w:p w14:paraId="0D5275C1">
            <w:pPr>
              <w:jc w:val="center"/>
              <w:rPr>
                <w:rFonts w:ascii="方正仿宋_GBK" w:eastAsia="方正仿宋_GBK"/>
                <w:color w:val="000000"/>
                <w:sz w:val="18"/>
                <w:szCs w:val="18"/>
              </w:rPr>
            </w:pPr>
            <w:r>
              <w:rPr>
                <w:rFonts w:hint="eastAsia" w:ascii="方正仿宋_GBK" w:eastAsia="方正仿宋_GBK"/>
                <w:color w:val="000000"/>
                <w:sz w:val="18"/>
                <w:szCs w:val="18"/>
              </w:rPr>
              <w:t>最大限度减轻洪水灾害影响和损失，确保人民群众生命财产安全，推进经济运行早日恢复。</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14:paraId="30FD0CE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无　</w:t>
            </w:r>
          </w:p>
        </w:tc>
        <w:tc>
          <w:tcPr>
            <w:tcW w:w="3152" w:type="dxa"/>
            <w:gridSpan w:val="3"/>
            <w:tcBorders>
              <w:top w:val="single" w:color="auto" w:sz="4" w:space="0"/>
              <w:left w:val="nil"/>
              <w:bottom w:val="single" w:color="auto" w:sz="4" w:space="0"/>
              <w:right w:val="single" w:color="000000" w:sz="4" w:space="0"/>
            </w:tcBorders>
            <w:shd w:val="clear" w:color="auto" w:fill="auto"/>
            <w:vAlign w:val="center"/>
          </w:tcPr>
          <w:p w14:paraId="6211E7F0">
            <w:pPr>
              <w:jc w:val="center"/>
              <w:rPr>
                <w:rFonts w:ascii="方正仿宋_GBK" w:eastAsia="方正仿宋_GBK"/>
                <w:color w:val="000000"/>
                <w:sz w:val="18"/>
                <w:szCs w:val="18"/>
              </w:rPr>
            </w:pPr>
            <w:r>
              <w:rPr>
                <w:rFonts w:hint="eastAsia" w:ascii="方正仿宋_GBK" w:eastAsia="方正仿宋_GBK"/>
                <w:color w:val="000000"/>
                <w:sz w:val="18"/>
                <w:szCs w:val="18"/>
              </w:rPr>
              <w:t>最大限度减轻洪水灾害影响和损失，确保人民群众生命财产安全，推进经济运行早日恢复。</w:t>
            </w:r>
          </w:p>
        </w:tc>
      </w:tr>
      <w:tr w14:paraId="24DF489B">
        <w:tblPrEx>
          <w:tblCellMar>
            <w:top w:w="0" w:type="dxa"/>
            <w:left w:w="108" w:type="dxa"/>
            <w:bottom w:w="0" w:type="dxa"/>
            <w:right w:w="108" w:type="dxa"/>
          </w:tblCellMar>
        </w:tblPrEx>
        <w:trPr>
          <w:cantSplit/>
          <w:trHeight w:val="601" w:hRule="atLeast"/>
        </w:trPr>
        <w:tc>
          <w:tcPr>
            <w:tcW w:w="85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3E73709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绩效指标</w:t>
            </w:r>
          </w:p>
        </w:tc>
        <w:tc>
          <w:tcPr>
            <w:tcW w:w="829" w:type="dxa"/>
            <w:tcBorders>
              <w:top w:val="nil"/>
              <w:left w:val="nil"/>
              <w:bottom w:val="single" w:color="auto" w:sz="4" w:space="0"/>
              <w:right w:val="nil"/>
            </w:tcBorders>
            <w:shd w:val="clear" w:color="auto" w:fill="auto"/>
            <w:vAlign w:val="center"/>
          </w:tcPr>
          <w:p w14:paraId="05FD1D5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指标名称</w:t>
            </w:r>
          </w:p>
        </w:tc>
        <w:tc>
          <w:tcPr>
            <w:tcW w:w="0" w:type="auto"/>
            <w:tcBorders>
              <w:top w:val="nil"/>
              <w:left w:val="single" w:color="auto" w:sz="4" w:space="0"/>
              <w:bottom w:val="single" w:color="auto" w:sz="4" w:space="0"/>
              <w:right w:val="single" w:color="auto" w:sz="4" w:space="0"/>
            </w:tcBorders>
            <w:shd w:val="clear" w:color="auto" w:fill="auto"/>
            <w:vAlign w:val="center"/>
          </w:tcPr>
          <w:p w14:paraId="4CD628B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0" w:type="auto"/>
            <w:tcBorders>
              <w:top w:val="nil"/>
              <w:left w:val="nil"/>
              <w:bottom w:val="single" w:color="auto" w:sz="4" w:space="0"/>
              <w:right w:val="single" w:color="auto" w:sz="4" w:space="0"/>
            </w:tcBorders>
            <w:shd w:val="clear" w:color="auto" w:fill="auto"/>
            <w:vAlign w:val="center"/>
          </w:tcPr>
          <w:p w14:paraId="06F4933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0" w:type="auto"/>
            <w:tcBorders>
              <w:top w:val="nil"/>
              <w:left w:val="nil"/>
              <w:bottom w:val="single" w:color="auto" w:sz="4" w:space="0"/>
              <w:right w:val="single" w:color="auto" w:sz="4" w:space="0"/>
            </w:tcBorders>
            <w:shd w:val="clear" w:color="auto" w:fill="auto"/>
            <w:vAlign w:val="center"/>
          </w:tcPr>
          <w:p w14:paraId="7DB6873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14:paraId="35D5D2B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14:paraId="5D404E1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14:paraId="69BF693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14:paraId="77B3DC7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14:paraId="2D3FC9E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1478" w:type="dxa"/>
            <w:tcBorders>
              <w:top w:val="nil"/>
              <w:left w:val="nil"/>
              <w:bottom w:val="single" w:color="auto" w:sz="4" w:space="0"/>
              <w:right w:val="single" w:color="auto" w:sz="4" w:space="0"/>
            </w:tcBorders>
            <w:shd w:val="clear" w:color="auto" w:fill="auto"/>
            <w:vAlign w:val="center"/>
          </w:tcPr>
          <w:p w14:paraId="335FB07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14:paraId="0EDAD743">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523F514B">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6A0CD454">
            <w:pPr>
              <w:jc w:val="center"/>
              <w:rPr>
                <w:rFonts w:ascii="方正仿宋_GBK" w:eastAsia="方正仿宋_GBK"/>
                <w:color w:val="000000"/>
                <w:sz w:val="18"/>
                <w:szCs w:val="18"/>
              </w:rPr>
            </w:pPr>
            <w:r>
              <w:rPr>
                <w:rFonts w:hint="eastAsia" w:ascii="方正仿宋_GBK" w:eastAsia="方正仿宋_GBK"/>
                <w:color w:val="000000"/>
                <w:sz w:val="18"/>
                <w:szCs w:val="18"/>
              </w:rPr>
              <w:t>满意度</w:t>
            </w:r>
          </w:p>
        </w:tc>
        <w:tc>
          <w:tcPr>
            <w:tcW w:w="0" w:type="auto"/>
            <w:tcBorders>
              <w:top w:val="nil"/>
              <w:left w:val="single" w:color="auto" w:sz="4" w:space="0"/>
              <w:bottom w:val="single" w:color="auto" w:sz="4" w:space="0"/>
              <w:right w:val="nil"/>
            </w:tcBorders>
            <w:shd w:val="clear" w:color="auto" w:fill="auto"/>
            <w:vAlign w:val="center"/>
          </w:tcPr>
          <w:p w14:paraId="14111711">
            <w:pPr>
              <w:jc w:val="center"/>
              <w:rPr>
                <w:rFonts w:ascii="方正仿宋_GBK" w:eastAsia="方正仿宋_GBK"/>
                <w:color w:val="000000"/>
                <w:sz w:val="18"/>
                <w:szCs w:val="18"/>
              </w:rPr>
            </w:pPr>
            <w:r>
              <w:rPr>
                <w:rFonts w:hint="eastAsia" w:ascii="方正仿宋_GBK" w:eastAsia="方正仿宋_GBK"/>
                <w:color w:val="000000"/>
                <w:sz w:val="18"/>
                <w:szCs w:val="18"/>
              </w:rPr>
              <w:t>辖区群众满意率</w:t>
            </w:r>
          </w:p>
        </w:tc>
        <w:tc>
          <w:tcPr>
            <w:tcW w:w="0" w:type="auto"/>
            <w:tcBorders>
              <w:top w:val="nil"/>
              <w:left w:val="single" w:color="auto" w:sz="4" w:space="0"/>
              <w:bottom w:val="single" w:color="auto" w:sz="4" w:space="0"/>
              <w:right w:val="nil"/>
            </w:tcBorders>
            <w:shd w:val="clear" w:color="auto" w:fill="auto"/>
            <w:vAlign w:val="center"/>
          </w:tcPr>
          <w:p w14:paraId="623F6C6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754834A4">
            <w:pPr>
              <w:jc w:val="center"/>
              <w:rPr>
                <w:rFonts w:ascii="方正仿宋_GBK" w:eastAsia="方正仿宋_GBK"/>
                <w:color w:val="000000"/>
                <w:sz w:val="18"/>
                <w:szCs w:val="18"/>
              </w:rPr>
            </w:pPr>
            <w:r>
              <w:rPr>
                <w:rFonts w:hint="eastAsia" w:ascii="方正仿宋_GBK" w:eastAsia="方正仿宋_GBK"/>
                <w:color w:val="000000"/>
                <w:sz w:val="18"/>
                <w:szCs w:val="18"/>
              </w:rPr>
              <w:t>90%</w:t>
            </w:r>
          </w:p>
        </w:tc>
        <w:tc>
          <w:tcPr>
            <w:tcW w:w="0" w:type="auto"/>
            <w:tcBorders>
              <w:top w:val="nil"/>
              <w:left w:val="single" w:color="auto" w:sz="4" w:space="0"/>
              <w:bottom w:val="single" w:color="auto" w:sz="4" w:space="0"/>
              <w:right w:val="nil"/>
            </w:tcBorders>
            <w:shd w:val="clear" w:color="auto" w:fill="auto"/>
            <w:vAlign w:val="center"/>
          </w:tcPr>
          <w:p w14:paraId="2F70302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66B2B38">
            <w:pPr>
              <w:jc w:val="center"/>
              <w:rPr>
                <w:rFonts w:ascii="方正仿宋_GBK" w:eastAsia="方正仿宋_GBK"/>
                <w:color w:val="000000"/>
                <w:sz w:val="18"/>
                <w:szCs w:val="18"/>
              </w:rPr>
            </w:pPr>
            <w:r>
              <w:rPr>
                <w:rFonts w:hint="eastAsia" w:ascii="方正仿宋_GBK" w:eastAsia="方正仿宋_GBK"/>
                <w:color w:val="000000"/>
                <w:sz w:val="18"/>
                <w:szCs w:val="18"/>
              </w:rPr>
              <w:t>90%</w:t>
            </w:r>
          </w:p>
        </w:tc>
        <w:tc>
          <w:tcPr>
            <w:tcW w:w="0" w:type="auto"/>
            <w:tcBorders>
              <w:top w:val="nil"/>
              <w:left w:val="single" w:color="auto" w:sz="4" w:space="0"/>
              <w:bottom w:val="single" w:color="auto" w:sz="4" w:space="0"/>
              <w:right w:val="nil"/>
            </w:tcBorders>
            <w:shd w:val="clear" w:color="auto" w:fill="auto"/>
            <w:vAlign w:val="center"/>
          </w:tcPr>
          <w:p w14:paraId="0432790B">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05C112F8">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0" w:type="auto"/>
            <w:tcBorders>
              <w:top w:val="nil"/>
              <w:left w:val="single" w:color="auto" w:sz="4" w:space="0"/>
              <w:bottom w:val="single" w:color="auto" w:sz="4" w:space="0"/>
              <w:right w:val="nil"/>
            </w:tcBorders>
            <w:shd w:val="clear" w:color="auto" w:fill="auto"/>
            <w:vAlign w:val="center"/>
          </w:tcPr>
          <w:p w14:paraId="1EA7015E">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1478" w:type="dxa"/>
            <w:tcBorders>
              <w:top w:val="nil"/>
              <w:left w:val="single" w:color="auto" w:sz="4" w:space="0"/>
              <w:bottom w:val="single" w:color="auto" w:sz="4" w:space="0"/>
              <w:right w:val="single" w:color="auto" w:sz="4" w:space="0"/>
            </w:tcBorders>
            <w:shd w:val="clear" w:color="auto" w:fill="auto"/>
            <w:vAlign w:val="center"/>
          </w:tcPr>
          <w:p w14:paraId="7777CBD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是</w:t>
            </w:r>
          </w:p>
        </w:tc>
      </w:tr>
      <w:tr w14:paraId="0BC1EF2E">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01892935">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42A8495D">
            <w:pPr>
              <w:jc w:val="center"/>
              <w:rPr>
                <w:rFonts w:ascii="方正仿宋_GBK" w:eastAsia="方正仿宋_GBK"/>
                <w:color w:val="000000"/>
                <w:sz w:val="18"/>
                <w:szCs w:val="18"/>
              </w:rPr>
            </w:pPr>
            <w:r>
              <w:rPr>
                <w:rFonts w:hint="eastAsia" w:ascii="方正仿宋_GBK" w:eastAsia="方正仿宋_GBK"/>
                <w:color w:val="000000"/>
                <w:sz w:val="18"/>
                <w:szCs w:val="18"/>
              </w:rPr>
              <w:t>产出指标</w:t>
            </w:r>
          </w:p>
        </w:tc>
        <w:tc>
          <w:tcPr>
            <w:tcW w:w="0" w:type="auto"/>
            <w:tcBorders>
              <w:top w:val="nil"/>
              <w:left w:val="single" w:color="auto" w:sz="4" w:space="0"/>
              <w:bottom w:val="single" w:color="auto" w:sz="4" w:space="0"/>
              <w:right w:val="nil"/>
            </w:tcBorders>
            <w:shd w:val="clear" w:color="auto" w:fill="auto"/>
            <w:vAlign w:val="center"/>
          </w:tcPr>
          <w:p w14:paraId="480262E2">
            <w:pPr>
              <w:jc w:val="center"/>
              <w:rPr>
                <w:rFonts w:ascii="方正仿宋_GBK" w:eastAsia="方正仿宋_GBK"/>
                <w:color w:val="000000"/>
                <w:sz w:val="18"/>
                <w:szCs w:val="18"/>
              </w:rPr>
            </w:pPr>
            <w:r>
              <w:rPr>
                <w:rFonts w:hint="eastAsia" w:ascii="方正仿宋_GBK" w:eastAsia="方正仿宋_GBK"/>
                <w:color w:val="000000"/>
                <w:sz w:val="18"/>
                <w:szCs w:val="18"/>
              </w:rPr>
              <w:t>紧急转移避险人数</w:t>
            </w:r>
          </w:p>
        </w:tc>
        <w:tc>
          <w:tcPr>
            <w:tcW w:w="0" w:type="auto"/>
            <w:tcBorders>
              <w:top w:val="nil"/>
              <w:left w:val="single" w:color="auto" w:sz="4" w:space="0"/>
              <w:bottom w:val="single" w:color="auto" w:sz="4" w:space="0"/>
              <w:right w:val="nil"/>
            </w:tcBorders>
            <w:shd w:val="clear" w:color="auto" w:fill="auto"/>
            <w:vAlign w:val="center"/>
          </w:tcPr>
          <w:p w14:paraId="16DFB47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7DFACCB6">
            <w:pPr>
              <w:rPr>
                <w:rFonts w:ascii="方正仿宋_GBK" w:eastAsia="方正仿宋_GBK"/>
                <w:color w:val="000000"/>
                <w:sz w:val="18"/>
                <w:szCs w:val="18"/>
              </w:rPr>
            </w:pPr>
            <w:r>
              <w:rPr>
                <w:rFonts w:hint="eastAsia" w:ascii="方正仿宋_GBK" w:eastAsia="方正仿宋_GBK"/>
                <w:color w:val="000000"/>
                <w:sz w:val="18"/>
                <w:szCs w:val="18"/>
              </w:rPr>
              <w:t>4000人</w:t>
            </w:r>
          </w:p>
        </w:tc>
        <w:tc>
          <w:tcPr>
            <w:tcW w:w="0" w:type="auto"/>
            <w:tcBorders>
              <w:top w:val="nil"/>
              <w:left w:val="single" w:color="auto" w:sz="4" w:space="0"/>
              <w:bottom w:val="single" w:color="auto" w:sz="4" w:space="0"/>
              <w:right w:val="nil"/>
            </w:tcBorders>
            <w:shd w:val="clear" w:color="auto" w:fill="auto"/>
            <w:vAlign w:val="center"/>
          </w:tcPr>
          <w:p w14:paraId="2237709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0EA39BE">
            <w:pPr>
              <w:rPr>
                <w:rFonts w:ascii="方正仿宋_GBK" w:eastAsia="方正仿宋_GBK"/>
                <w:color w:val="000000"/>
                <w:sz w:val="18"/>
                <w:szCs w:val="18"/>
              </w:rPr>
            </w:pPr>
            <w:r>
              <w:rPr>
                <w:rFonts w:hint="eastAsia" w:ascii="方正仿宋_GBK" w:eastAsia="方正仿宋_GBK"/>
                <w:color w:val="000000"/>
                <w:sz w:val="18"/>
                <w:szCs w:val="18"/>
              </w:rPr>
              <w:t>4000人</w:t>
            </w:r>
          </w:p>
        </w:tc>
        <w:tc>
          <w:tcPr>
            <w:tcW w:w="0" w:type="auto"/>
            <w:tcBorders>
              <w:top w:val="nil"/>
              <w:left w:val="single" w:color="auto" w:sz="4" w:space="0"/>
              <w:bottom w:val="single" w:color="auto" w:sz="4" w:space="0"/>
              <w:right w:val="nil"/>
            </w:tcBorders>
            <w:shd w:val="clear" w:color="auto" w:fill="auto"/>
            <w:vAlign w:val="center"/>
          </w:tcPr>
          <w:p w14:paraId="58D96897">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0EAF0C32">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0" w:type="auto"/>
            <w:tcBorders>
              <w:top w:val="nil"/>
              <w:left w:val="single" w:color="auto" w:sz="4" w:space="0"/>
              <w:bottom w:val="single" w:color="auto" w:sz="4" w:space="0"/>
              <w:right w:val="nil"/>
            </w:tcBorders>
            <w:shd w:val="clear" w:color="auto" w:fill="auto"/>
            <w:vAlign w:val="center"/>
          </w:tcPr>
          <w:p w14:paraId="0A093C62">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1478" w:type="dxa"/>
            <w:tcBorders>
              <w:top w:val="nil"/>
              <w:left w:val="single" w:color="auto" w:sz="4" w:space="0"/>
              <w:bottom w:val="single" w:color="auto" w:sz="4" w:space="0"/>
              <w:right w:val="single" w:color="auto" w:sz="4" w:space="0"/>
            </w:tcBorders>
            <w:shd w:val="clear" w:color="auto" w:fill="auto"/>
            <w:vAlign w:val="center"/>
          </w:tcPr>
          <w:p w14:paraId="2E96BDD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是</w:t>
            </w:r>
          </w:p>
        </w:tc>
      </w:tr>
      <w:tr w14:paraId="76942808">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0EE83D06">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1F3FC493">
            <w:pPr>
              <w:jc w:val="center"/>
              <w:rPr>
                <w:rFonts w:ascii="方正仿宋_GBK" w:eastAsia="方正仿宋_GBK"/>
                <w:color w:val="000000"/>
                <w:sz w:val="18"/>
                <w:szCs w:val="18"/>
              </w:rPr>
            </w:pPr>
            <w:r>
              <w:rPr>
                <w:rFonts w:hint="eastAsia" w:ascii="方正仿宋_GBK" w:eastAsia="方正仿宋_GBK"/>
                <w:color w:val="000000"/>
                <w:sz w:val="18"/>
                <w:szCs w:val="18"/>
              </w:rPr>
              <w:t>产出指标</w:t>
            </w:r>
          </w:p>
        </w:tc>
        <w:tc>
          <w:tcPr>
            <w:tcW w:w="0" w:type="auto"/>
            <w:tcBorders>
              <w:top w:val="nil"/>
              <w:left w:val="single" w:color="auto" w:sz="4" w:space="0"/>
              <w:bottom w:val="single" w:color="auto" w:sz="4" w:space="0"/>
              <w:right w:val="nil"/>
            </w:tcBorders>
            <w:shd w:val="clear" w:color="auto" w:fill="auto"/>
            <w:vAlign w:val="center"/>
          </w:tcPr>
          <w:p w14:paraId="6B9D2C7B">
            <w:pPr>
              <w:jc w:val="center"/>
              <w:rPr>
                <w:rFonts w:ascii="方正仿宋_GBK" w:eastAsia="方正仿宋_GBK"/>
                <w:color w:val="000000"/>
                <w:sz w:val="18"/>
                <w:szCs w:val="18"/>
              </w:rPr>
            </w:pPr>
            <w:r>
              <w:rPr>
                <w:rFonts w:hint="eastAsia" w:ascii="方正仿宋_GBK" w:eastAsia="方正仿宋_GBK"/>
                <w:color w:val="000000"/>
                <w:sz w:val="18"/>
                <w:szCs w:val="18"/>
              </w:rPr>
              <w:t>紧急转移商户数量</w:t>
            </w:r>
          </w:p>
        </w:tc>
        <w:tc>
          <w:tcPr>
            <w:tcW w:w="0" w:type="auto"/>
            <w:tcBorders>
              <w:top w:val="nil"/>
              <w:left w:val="single" w:color="auto" w:sz="4" w:space="0"/>
              <w:bottom w:val="single" w:color="auto" w:sz="4" w:space="0"/>
              <w:right w:val="nil"/>
            </w:tcBorders>
            <w:shd w:val="clear" w:color="auto" w:fill="auto"/>
            <w:vAlign w:val="center"/>
          </w:tcPr>
          <w:p w14:paraId="164F069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615239B">
            <w:pPr>
              <w:jc w:val="center"/>
              <w:rPr>
                <w:rFonts w:ascii="方正仿宋_GBK" w:eastAsia="方正仿宋_GBK"/>
                <w:color w:val="000000"/>
                <w:sz w:val="18"/>
                <w:szCs w:val="18"/>
              </w:rPr>
            </w:pPr>
            <w:r>
              <w:rPr>
                <w:rFonts w:hint="eastAsia" w:ascii="方正仿宋_GBK" w:eastAsia="方正仿宋_GBK"/>
                <w:color w:val="000000"/>
                <w:sz w:val="18"/>
                <w:szCs w:val="18"/>
              </w:rPr>
              <w:t>100户</w:t>
            </w:r>
          </w:p>
        </w:tc>
        <w:tc>
          <w:tcPr>
            <w:tcW w:w="0" w:type="auto"/>
            <w:tcBorders>
              <w:top w:val="nil"/>
              <w:left w:val="single" w:color="auto" w:sz="4" w:space="0"/>
              <w:bottom w:val="single" w:color="auto" w:sz="4" w:space="0"/>
              <w:right w:val="nil"/>
            </w:tcBorders>
            <w:shd w:val="clear" w:color="auto" w:fill="auto"/>
            <w:vAlign w:val="center"/>
          </w:tcPr>
          <w:p w14:paraId="7AD1DAF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517C5AFE">
            <w:pPr>
              <w:jc w:val="center"/>
              <w:rPr>
                <w:rFonts w:ascii="方正仿宋_GBK" w:eastAsia="方正仿宋_GBK"/>
                <w:color w:val="000000"/>
                <w:sz w:val="18"/>
                <w:szCs w:val="18"/>
              </w:rPr>
            </w:pPr>
            <w:r>
              <w:rPr>
                <w:rFonts w:hint="eastAsia" w:ascii="方正仿宋_GBK" w:eastAsia="方正仿宋_GBK"/>
                <w:color w:val="000000"/>
                <w:sz w:val="18"/>
                <w:szCs w:val="18"/>
              </w:rPr>
              <w:t>100户</w:t>
            </w:r>
          </w:p>
        </w:tc>
        <w:tc>
          <w:tcPr>
            <w:tcW w:w="0" w:type="auto"/>
            <w:tcBorders>
              <w:top w:val="nil"/>
              <w:left w:val="single" w:color="auto" w:sz="4" w:space="0"/>
              <w:bottom w:val="single" w:color="auto" w:sz="4" w:space="0"/>
              <w:right w:val="nil"/>
            </w:tcBorders>
            <w:shd w:val="clear" w:color="auto" w:fill="auto"/>
            <w:vAlign w:val="center"/>
          </w:tcPr>
          <w:p w14:paraId="5C8D6296">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60271879">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0" w:type="auto"/>
            <w:tcBorders>
              <w:top w:val="nil"/>
              <w:left w:val="single" w:color="auto" w:sz="4" w:space="0"/>
              <w:bottom w:val="single" w:color="auto" w:sz="4" w:space="0"/>
              <w:right w:val="nil"/>
            </w:tcBorders>
            <w:shd w:val="clear" w:color="auto" w:fill="auto"/>
            <w:vAlign w:val="center"/>
          </w:tcPr>
          <w:p w14:paraId="0673EC56">
            <w:pPr>
              <w:jc w:val="right"/>
              <w:rPr>
                <w:rFonts w:ascii="方正仿宋_GBK" w:eastAsia="方正仿宋_GBK"/>
                <w:color w:val="000000"/>
                <w:sz w:val="18"/>
                <w:szCs w:val="18"/>
              </w:rPr>
            </w:pPr>
            <w:r>
              <w:rPr>
                <w:rFonts w:hint="eastAsia" w:ascii="方正仿宋_GBK" w:eastAsia="方正仿宋_GBK"/>
                <w:color w:val="000000"/>
                <w:sz w:val="18"/>
                <w:szCs w:val="18"/>
              </w:rPr>
              <w:t>20</w:t>
            </w:r>
          </w:p>
        </w:tc>
        <w:tc>
          <w:tcPr>
            <w:tcW w:w="1478" w:type="dxa"/>
            <w:tcBorders>
              <w:top w:val="nil"/>
              <w:left w:val="single" w:color="auto" w:sz="4" w:space="0"/>
              <w:bottom w:val="single" w:color="auto" w:sz="4" w:space="0"/>
              <w:right w:val="single" w:color="auto" w:sz="4" w:space="0"/>
            </w:tcBorders>
            <w:shd w:val="clear" w:color="auto" w:fill="auto"/>
            <w:vAlign w:val="center"/>
          </w:tcPr>
          <w:p w14:paraId="255BD11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是</w:t>
            </w:r>
          </w:p>
        </w:tc>
      </w:tr>
      <w:tr w14:paraId="286AD3F8">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0D273318">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215B6FCF">
            <w:pPr>
              <w:jc w:val="center"/>
              <w:rPr>
                <w:rFonts w:ascii="方正仿宋_GBK" w:eastAsia="方正仿宋_GBK"/>
                <w:color w:val="000000"/>
                <w:sz w:val="18"/>
                <w:szCs w:val="18"/>
              </w:rPr>
            </w:pPr>
            <w:r>
              <w:rPr>
                <w:rFonts w:hint="eastAsia" w:ascii="方正仿宋_GBK" w:eastAsia="方正仿宋_GBK"/>
                <w:color w:val="000000"/>
                <w:sz w:val="18"/>
                <w:szCs w:val="18"/>
              </w:rPr>
              <w:t>效益指标</w:t>
            </w:r>
          </w:p>
        </w:tc>
        <w:tc>
          <w:tcPr>
            <w:tcW w:w="0" w:type="auto"/>
            <w:tcBorders>
              <w:top w:val="nil"/>
              <w:left w:val="single" w:color="auto" w:sz="4" w:space="0"/>
              <w:bottom w:val="single" w:color="auto" w:sz="4" w:space="0"/>
              <w:right w:val="nil"/>
            </w:tcBorders>
            <w:shd w:val="clear" w:color="auto" w:fill="auto"/>
            <w:vAlign w:val="center"/>
          </w:tcPr>
          <w:p w14:paraId="4EA3A6AC">
            <w:pPr>
              <w:jc w:val="center"/>
              <w:rPr>
                <w:rFonts w:ascii="方正仿宋_GBK" w:eastAsia="方正仿宋_GBK"/>
                <w:color w:val="000000"/>
                <w:sz w:val="18"/>
                <w:szCs w:val="18"/>
              </w:rPr>
            </w:pPr>
            <w:r>
              <w:rPr>
                <w:rFonts w:hint="eastAsia" w:ascii="方正仿宋_GBK" w:eastAsia="方正仿宋_GBK"/>
                <w:color w:val="000000"/>
                <w:sz w:val="18"/>
                <w:szCs w:val="18"/>
              </w:rPr>
              <w:t>企业、商户复工复产率</w:t>
            </w:r>
          </w:p>
        </w:tc>
        <w:tc>
          <w:tcPr>
            <w:tcW w:w="0" w:type="auto"/>
            <w:tcBorders>
              <w:top w:val="nil"/>
              <w:left w:val="single" w:color="auto" w:sz="4" w:space="0"/>
              <w:bottom w:val="single" w:color="auto" w:sz="4" w:space="0"/>
              <w:right w:val="nil"/>
            </w:tcBorders>
            <w:shd w:val="clear" w:color="auto" w:fill="auto"/>
            <w:vAlign w:val="center"/>
          </w:tcPr>
          <w:p w14:paraId="576E341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60DF059">
            <w:pPr>
              <w:jc w:val="center"/>
              <w:rPr>
                <w:rFonts w:ascii="方正仿宋_GBK" w:eastAsia="方正仿宋_GBK"/>
                <w:color w:val="000000"/>
                <w:sz w:val="18"/>
                <w:szCs w:val="18"/>
              </w:rPr>
            </w:pPr>
            <w:r>
              <w:rPr>
                <w:rFonts w:hint="eastAsia" w:ascii="方正仿宋_GBK" w:eastAsia="方正仿宋_GBK"/>
                <w:color w:val="000000"/>
                <w:sz w:val="18"/>
                <w:szCs w:val="18"/>
              </w:rPr>
              <w:t>95%</w:t>
            </w:r>
          </w:p>
        </w:tc>
        <w:tc>
          <w:tcPr>
            <w:tcW w:w="0" w:type="auto"/>
            <w:tcBorders>
              <w:top w:val="nil"/>
              <w:left w:val="single" w:color="auto" w:sz="4" w:space="0"/>
              <w:bottom w:val="single" w:color="auto" w:sz="4" w:space="0"/>
              <w:right w:val="nil"/>
            </w:tcBorders>
            <w:shd w:val="clear" w:color="auto" w:fill="auto"/>
            <w:vAlign w:val="center"/>
          </w:tcPr>
          <w:p w14:paraId="6A997C1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1306DF31">
            <w:pPr>
              <w:jc w:val="center"/>
              <w:rPr>
                <w:rFonts w:ascii="方正仿宋_GBK" w:eastAsia="方正仿宋_GBK"/>
                <w:color w:val="000000"/>
                <w:sz w:val="18"/>
                <w:szCs w:val="18"/>
              </w:rPr>
            </w:pPr>
            <w:r>
              <w:rPr>
                <w:rFonts w:hint="eastAsia" w:ascii="方正仿宋_GBK" w:eastAsia="方正仿宋_GBK"/>
                <w:color w:val="000000"/>
                <w:sz w:val="18"/>
                <w:szCs w:val="18"/>
              </w:rPr>
              <w:t>95%</w:t>
            </w:r>
          </w:p>
        </w:tc>
        <w:tc>
          <w:tcPr>
            <w:tcW w:w="0" w:type="auto"/>
            <w:tcBorders>
              <w:top w:val="nil"/>
              <w:left w:val="single" w:color="auto" w:sz="4" w:space="0"/>
              <w:bottom w:val="single" w:color="auto" w:sz="4" w:space="0"/>
              <w:right w:val="nil"/>
            </w:tcBorders>
            <w:shd w:val="clear" w:color="auto" w:fill="auto"/>
            <w:vAlign w:val="center"/>
          </w:tcPr>
          <w:p w14:paraId="7F01DFC8">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1CE6208B">
            <w:pPr>
              <w:jc w:val="right"/>
              <w:rPr>
                <w:rFonts w:ascii="方正仿宋_GBK" w:eastAsia="方正仿宋_GBK"/>
                <w:color w:val="000000"/>
                <w:sz w:val="18"/>
                <w:szCs w:val="18"/>
              </w:rPr>
            </w:pPr>
            <w:r>
              <w:rPr>
                <w:rFonts w:hint="eastAsia" w:ascii="方正仿宋_GBK" w:eastAsia="方正仿宋_GBK"/>
                <w:color w:val="000000"/>
                <w:sz w:val="18"/>
                <w:szCs w:val="18"/>
              </w:rPr>
              <w:t>15</w:t>
            </w:r>
          </w:p>
        </w:tc>
        <w:tc>
          <w:tcPr>
            <w:tcW w:w="0" w:type="auto"/>
            <w:tcBorders>
              <w:top w:val="nil"/>
              <w:left w:val="single" w:color="auto" w:sz="4" w:space="0"/>
              <w:bottom w:val="single" w:color="auto" w:sz="4" w:space="0"/>
              <w:right w:val="nil"/>
            </w:tcBorders>
            <w:shd w:val="clear" w:color="auto" w:fill="auto"/>
            <w:vAlign w:val="center"/>
          </w:tcPr>
          <w:p w14:paraId="5EDF2497">
            <w:pPr>
              <w:jc w:val="right"/>
              <w:rPr>
                <w:rFonts w:ascii="方正仿宋_GBK" w:eastAsia="方正仿宋_GBK"/>
                <w:color w:val="000000"/>
                <w:sz w:val="18"/>
                <w:szCs w:val="18"/>
              </w:rPr>
            </w:pPr>
            <w:r>
              <w:rPr>
                <w:rFonts w:hint="eastAsia" w:ascii="方正仿宋_GBK" w:eastAsia="方正仿宋_GBK"/>
                <w:color w:val="000000"/>
                <w:sz w:val="18"/>
                <w:szCs w:val="18"/>
              </w:rPr>
              <w:t>15</w:t>
            </w:r>
          </w:p>
        </w:tc>
        <w:tc>
          <w:tcPr>
            <w:tcW w:w="1478" w:type="dxa"/>
            <w:tcBorders>
              <w:top w:val="nil"/>
              <w:left w:val="single" w:color="auto" w:sz="4" w:space="0"/>
              <w:bottom w:val="single" w:color="auto" w:sz="4" w:space="0"/>
              <w:right w:val="single" w:color="auto" w:sz="4" w:space="0"/>
            </w:tcBorders>
            <w:shd w:val="clear" w:color="auto" w:fill="auto"/>
            <w:vAlign w:val="center"/>
          </w:tcPr>
          <w:p w14:paraId="6592A5A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是</w:t>
            </w:r>
          </w:p>
        </w:tc>
      </w:tr>
      <w:tr w14:paraId="41286EB6">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0993E1C2">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748F4AB3">
            <w:pPr>
              <w:jc w:val="center"/>
              <w:rPr>
                <w:rFonts w:ascii="方正仿宋_GBK" w:eastAsia="方正仿宋_GBK"/>
                <w:color w:val="000000"/>
                <w:sz w:val="18"/>
                <w:szCs w:val="18"/>
              </w:rPr>
            </w:pPr>
            <w:r>
              <w:rPr>
                <w:rFonts w:hint="eastAsia" w:ascii="方正仿宋_GBK" w:eastAsia="方正仿宋_GBK"/>
                <w:color w:val="000000"/>
                <w:sz w:val="18"/>
                <w:szCs w:val="18"/>
              </w:rPr>
              <w:t>效益指标</w:t>
            </w:r>
          </w:p>
        </w:tc>
        <w:tc>
          <w:tcPr>
            <w:tcW w:w="0" w:type="auto"/>
            <w:tcBorders>
              <w:top w:val="nil"/>
              <w:left w:val="single" w:color="auto" w:sz="4" w:space="0"/>
              <w:bottom w:val="single" w:color="auto" w:sz="4" w:space="0"/>
              <w:right w:val="nil"/>
            </w:tcBorders>
            <w:shd w:val="clear" w:color="auto" w:fill="auto"/>
            <w:vAlign w:val="center"/>
          </w:tcPr>
          <w:p w14:paraId="3BD70038">
            <w:pPr>
              <w:jc w:val="center"/>
              <w:rPr>
                <w:rFonts w:ascii="方正仿宋_GBK" w:eastAsia="方正仿宋_GBK"/>
                <w:color w:val="000000"/>
                <w:sz w:val="18"/>
                <w:szCs w:val="18"/>
              </w:rPr>
            </w:pPr>
            <w:r>
              <w:rPr>
                <w:rFonts w:hint="eastAsia" w:ascii="方正仿宋_GBK" w:eastAsia="方正仿宋_GBK"/>
                <w:color w:val="000000"/>
                <w:sz w:val="18"/>
                <w:szCs w:val="18"/>
              </w:rPr>
              <w:t>受灾住户、商户安全转移率</w:t>
            </w:r>
          </w:p>
        </w:tc>
        <w:tc>
          <w:tcPr>
            <w:tcW w:w="0" w:type="auto"/>
            <w:tcBorders>
              <w:top w:val="nil"/>
              <w:left w:val="single" w:color="auto" w:sz="4" w:space="0"/>
              <w:bottom w:val="single" w:color="auto" w:sz="4" w:space="0"/>
              <w:right w:val="nil"/>
            </w:tcBorders>
            <w:shd w:val="clear" w:color="auto" w:fill="auto"/>
            <w:vAlign w:val="center"/>
          </w:tcPr>
          <w:p w14:paraId="5E59D21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4EA22EAB">
            <w:pP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59E0F99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2AF8E3AA">
            <w:pP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5FF70BD3">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221E994A">
            <w:pPr>
              <w:jc w:val="right"/>
              <w:rPr>
                <w:rFonts w:ascii="方正仿宋_GBK" w:eastAsia="方正仿宋_GBK"/>
                <w:color w:val="000000"/>
                <w:sz w:val="18"/>
                <w:szCs w:val="18"/>
              </w:rPr>
            </w:pPr>
            <w:r>
              <w:rPr>
                <w:rFonts w:hint="eastAsia" w:ascii="方正仿宋_GBK" w:eastAsia="方正仿宋_GBK"/>
                <w:color w:val="000000"/>
                <w:sz w:val="18"/>
                <w:szCs w:val="18"/>
              </w:rPr>
              <w:t>15</w:t>
            </w:r>
          </w:p>
        </w:tc>
        <w:tc>
          <w:tcPr>
            <w:tcW w:w="0" w:type="auto"/>
            <w:tcBorders>
              <w:top w:val="nil"/>
              <w:left w:val="single" w:color="auto" w:sz="4" w:space="0"/>
              <w:bottom w:val="single" w:color="auto" w:sz="4" w:space="0"/>
              <w:right w:val="nil"/>
            </w:tcBorders>
            <w:shd w:val="clear" w:color="auto" w:fill="auto"/>
            <w:vAlign w:val="center"/>
          </w:tcPr>
          <w:p w14:paraId="15A0BA1F">
            <w:pPr>
              <w:jc w:val="right"/>
              <w:rPr>
                <w:rFonts w:ascii="方正仿宋_GBK" w:eastAsia="方正仿宋_GBK"/>
                <w:color w:val="000000"/>
                <w:sz w:val="18"/>
                <w:szCs w:val="18"/>
              </w:rPr>
            </w:pPr>
            <w:r>
              <w:rPr>
                <w:rFonts w:hint="eastAsia" w:ascii="方正仿宋_GBK" w:eastAsia="方正仿宋_GBK"/>
                <w:color w:val="000000"/>
                <w:sz w:val="18"/>
                <w:szCs w:val="18"/>
              </w:rPr>
              <w:t>15</w:t>
            </w:r>
          </w:p>
        </w:tc>
        <w:tc>
          <w:tcPr>
            <w:tcW w:w="1478" w:type="dxa"/>
            <w:tcBorders>
              <w:top w:val="nil"/>
              <w:left w:val="single" w:color="auto" w:sz="4" w:space="0"/>
              <w:bottom w:val="single" w:color="auto" w:sz="4" w:space="0"/>
              <w:right w:val="single" w:color="auto" w:sz="4" w:space="0"/>
            </w:tcBorders>
            <w:shd w:val="clear" w:color="auto" w:fill="auto"/>
            <w:vAlign w:val="center"/>
          </w:tcPr>
          <w:p w14:paraId="0F874BD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是　</w:t>
            </w:r>
          </w:p>
        </w:tc>
      </w:tr>
      <w:tr w14:paraId="1D33B57E">
        <w:tblPrEx>
          <w:tblCellMar>
            <w:top w:w="0" w:type="dxa"/>
            <w:left w:w="108" w:type="dxa"/>
            <w:bottom w:w="0" w:type="dxa"/>
            <w:right w:w="108" w:type="dxa"/>
          </w:tblCellMar>
        </w:tblPrEx>
        <w:trPr>
          <w:cantSplit/>
          <w:trHeight w:val="523" w:hRule="atLeast"/>
        </w:trPr>
        <w:tc>
          <w:tcPr>
            <w:tcW w:w="858" w:type="dxa"/>
            <w:vMerge w:val="continue"/>
            <w:tcBorders>
              <w:top w:val="nil"/>
              <w:left w:val="single" w:color="auto" w:sz="4" w:space="0"/>
              <w:bottom w:val="single" w:color="auto" w:sz="4" w:space="0"/>
              <w:right w:val="single" w:color="auto" w:sz="4" w:space="0"/>
            </w:tcBorders>
            <w:vAlign w:val="center"/>
          </w:tcPr>
          <w:p w14:paraId="272FEB69">
            <w:pPr>
              <w:rPr>
                <w:rFonts w:ascii="方正仿宋_GBK" w:eastAsia="方正仿宋_GBK"/>
                <w:color w:val="000000"/>
                <w:sz w:val="18"/>
                <w:szCs w:val="18"/>
              </w:rPr>
            </w:pPr>
          </w:p>
        </w:tc>
        <w:tc>
          <w:tcPr>
            <w:tcW w:w="829" w:type="dxa"/>
            <w:tcBorders>
              <w:top w:val="nil"/>
              <w:left w:val="nil"/>
              <w:bottom w:val="single" w:color="auto" w:sz="4" w:space="0"/>
              <w:right w:val="nil"/>
            </w:tcBorders>
            <w:shd w:val="clear" w:color="auto" w:fill="auto"/>
            <w:vAlign w:val="center"/>
          </w:tcPr>
          <w:p w14:paraId="4D4D8B12">
            <w:pPr>
              <w:jc w:val="center"/>
              <w:rPr>
                <w:rFonts w:ascii="方正仿宋_GBK" w:eastAsia="方正仿宋_GBK"/>
                <w:color w:val="000000"/>
                <w:sz w:val="18"/>
                <w:szCs w:val="18"/>
              </w:rPr>
            </w:pPr>
            <w:r>
              <w:rPr>
                <w:rFonts w:hint="eastAsia" w:ascii="方正仿宋_GBK" w:eastAsia="方正仿宋_GBK"/>
                <w:color w:val="000000"/>
                <w:sz w:val="18"/>
                <w:szCs w:val="18"/>
              </w:rPr>
              <w:t>资金执行率指标</w:t>
            </w:r>
          </w:p>
        </w:tc>
        <w:tc>
          <w:tcPr>
            <w:tcW w:w="0" w:type="auto"/>
            <w:tcBorders>
              <w:top w:val="nil"/>
              <w:left w:val="single" w:color="auto" w:sz="4" w:space="0"/>
              <w:bottom w:val="single" w:color="auto" w:sz="4" w:space="0"/>
              <w:right w:val="nil"/>
            </w:tcBorders>
            <w:shd w:val="clear" w:color="auto" w:fill="auto"/>
            <w:vAlign w:val="center"/>
          </w:tcPr>
          <w:p w14:paraId="14A1B837">
            <w:pPr>
              <w:jc w:val="center"/>
              <w:rPr>
                <w:rFonts w:ascii="方正仿宋_GBK" w:eastAsia="方正仿宋_GBK"/>
                <w:color w:val="000000"/>
                <w:sz w:val="18"/>
                <w:szCs w:val="18"/>
              </w:rPr>
            </w:pPr>
            <w:r>
              <w:rPr>
                <w:rFonts w:hint="eastAsia" w:ascii="方正仿宋_GBK" w:eastAsia="方正仿宋_GBK"/>
                <w:color w:val="000000"/>
                <w:sz w:val="18"/>
                <w:szCs w:val="18"/>
              </w:rPr>
              <w:t>资金执行率指标</w:t>
            </w:r>
          </w:p>
        </w:tc>
        <w:tc>
          <w:tcPr>
            <w:tcW w:w="0" w:type="auto"/>
            <w:tcBorders>
              <w:top w:val="nil"/>
              <w:left w:val="single" w:color="auto" w:sz="4" w:space="0"/>
              <w:bottom w:val="single" w:color="auto" w:sz="4" w:space="0"/>
              <w:right w:val="nil"/>
            </w:tcBorders>
            <w:shd w:val="clear" w:color="auto" w:fill="auto"/>
            <w:vAlign w:val="center"/>
          </w:tcPr>
          <w:p w14:paraId="734164B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0E9CC1BA">
            <w:pPr>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22203F0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14:paraId="3067550E">
            <w:pPr>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16179DE9">
            <w:pPr>
              <w:jc w:val="right"/>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14:paraId="094D41F4">
            <w:pPr>
              <w:jc w:val="right"/>
              <w:rPr>
                <w:rFonts w:ascii="方正仿宋_GBK" w:eastAsia="方正仿宋_GBK"/>
                <w:color w:val="000000"/>
                <w:sz w:val="18"/>
                <w:szCs w:val="18"/>
              </w:rPr>
            </w:pPr>
            <w:r>
              <w:rPr>
                <w:rFonts w:hint="eastAsia" w:ascii="方正仿宋_GBK" w:eastAsia="方正仿宋_GBK"/>
                <w:color w:val="000000"/>
                <w:sz w:val="18"/>
                <w:szCs w:val="18"/>
              </w:rPr>
              <w:t>10</w:t>
            </w:r>
          </w:p>
        </w:tc>
        <w:tc>
          <w:tcPr>
            <w:tcW w:w="0" w:type="auto"/>
            <w:tcBorders>
              <w:top w:val="nil"/>
              <w:left w:val="single" w:color="auto" w:sz="4" w:space="0"/>
              <w:bottom w:val="single" w:color="auto" w:sz="4" w:space="0"/>
              <w:right w:val="nil"/>
            </w:tcBorders>
            <w:shd w:val="clear" w:color="auto" w:fill="auto"/>
            <w:vAlign w:val="center"/>
          </w:tcPr>
          <w:p w14:paraId="5344B627">
            <w:pPr>
              <w:jc w:val="right"/>
              <w:rPr>
                <w:rFonts w:ascii="方正仿宋_GBK" w:eastAsia="方正仿宋_GBK"/>
                <w:color w:val="000000"/>
                <w:sz w:val="18"/>
                <w:szCs w:val="18"/>
              </w:rPr>
            </w:pPr>
            <w:r>
              <w:rPr>
                <w:rFonts w:hint="eastAsia" w:ascii="方正仿宋_GBK" w:eastAsia="方正仿宋_GBK"/>
                <w:color w:val="000000"/>
                <w:sz w:val="18"/>
                <w:szCs w:val="18"/>
              </w:rPr>
              <w:t>10</w:t>
            </w:r>
          </w:p>
        </w:tc>
        <w:tc>
          <w:tcPr>
            <w:tcW w:w="1478" w:type="dxa"/>
            <w:tcBorders>
              <w:top w:val="nil"/>
              <w:left w:val="single" w:color="auto" w:sz="4" w:space="0"/>
              <w:bottom w:val="single" w:color="auto" w:sz="4" w:space="0"/>
              <w:right w:val="single" w:color="auto" w:sz="4" w:space="0"/>
            </w:tcBorders>
            <w:shd w:val="clear" w:color="auto" w:fill="auto"/>
            <w:vAlign w:val="center"/>
          </w:tcPr>
          <w:p w14:paraId="7E0A264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是</w:t>
            </w:r>
          </w:p>
        </w:tc>
      </w:tr>
      <w:tr w14:paraId="76F7D8A3">
        <w:tblPrEx>
          <w:tblCellMar>
            <w:top w:w="0" w:type="dxa"/>
            <w:left w:w="108" w:type="dxa"/>
            <w:bottom w:w="0" w:type="dxa"/>
            <w:right w:w="108" w:type="dxa"/>
          </w:tblCellMar>
        </w:tblPrEx>
        <w:trPr>
          <w:trHeight w:val="755" w:hRule="atLeast"/>
        </w:trPr>
        <w:tc>
          <w:tcPr>
            <w:tcW w:w="858" w:type="dxa"/>
            <w:tcBorders>
              <w:top w:val="nil"/>
              <w:left w:val="single" w:color="auto" w:sz="4" w:space="0"/>
              <w:bottom w:val="single" w:color="auto" w:sz="4" w:space="0"/>
              <w:right w:val="single" w:color="auto" w:sz="4" w:space="0"/>
            </w:tcBorders>
            <w:shd w:val="clear" w:color="auto" w:fill="auto"/>
            <w:vAlign w:val="center"/>
          </w:tcPr>
          <w:p w14:paraId="14E3D7F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说明</w:t>
            </w:r>
          </w:p>
        </w:tc>
        <w:tc>
          <w:tcPr>
            <w:tcW w:w="10200" w:type="dxa"/>
            <w:gridSpan w:val="10"/>
            <w:tcBorders>
              <w:top w:val="single" w:color="auto" w:sz="4" w:space="0"/>
              <w:left w:val="nil"/>
              <w:bottom w:val="single" w:color="auto" w:sz="4" w:space="0"/>
              <w:right w:val="single" w:color="auto" w:sz="4" w:space="0"/>
            </w:tcBorders>
            <w:shd w:val="clear" w:color="auto" w:fill="auto"/>
            <w:vAlign w:val="center"/>
          </w:tcPr>
          <w:p w14:paraId="15F75A3F">
            <w:pPr>
              <w:autoSpaceDN w:val="0"/>
              <w:rPr>
                <w:rFonts w:ascii="方正仿宋_GBK" w:eastAsia="方正仿宋_GBK"/>
                <w:color w:val="000000"/>
                <w:sz w:val="18"/>
                <w:szCs w:val="18"/>
              </w:rPr>
            </w:pPr>
            <w:r>
              <w:rPr>
                <w:rFonts w:hint="eastAsia" w:ascii="方正仿宋_GBK" w:eastAsia="方正仿宋_GBK"/>
                <w:color w:val="000000"/>
                <w:sz w:val="18"/>
                <w:szCs w:val="18"/>
              </w:rPr>
              <w:t>　</w:t>
            </w:r>
          </w:p>
        </w:tc>
      </w:tr>
    </w:tbl>
    <w:p w14:paraId="2D900930">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六、专业名词解释</w:t>
      </w:r>
    </w:p>
    <w:p w14:paraId="0E78E2A5">
      <w:pPr>
        <w:pStyle w:val="11"/>
        <w:tabs>
          <w:tab w:val="center" w:pos="4153"/>
          <w:tab w:val="left" w:pos="7275"/>
        </w:tabs>
        <w:spacing w:line="560" w:lineRule="exact"/>
        <w:ind w:firstLine="643"/>
        <w:rPr>
          <w:rFonts w:ascii="方正仿宋_GBK" w:eastAsia="方正仿宋_GBK"/>
          <w:b/>
          <w:sz w:val="32"/>
          <w:szCs w:val="32"/>
        </w:rPr>
      </w:pPr>
      <w:r>
        <w:rPr>
          <w:rFonts w:hint="eastAsia" w:ascii="方正仿宋_GBK" w:eastAsia="方正仿宋_GBK"/>
          <w:b/>
          <w:sz w:val="32"/>
          <w:szCs w:val="32"/>
        </w:rPr>
        <w:t>（一）财政拨款收入</w:t>
      </w:r>
    </w:p>
    <w:p w14:paraId="534A62B9">
      <w:pPr>
        <w:pStyle w:val="11"/>
        <w:tabs>
          <w:tab w:val="center" w:pos="4153"/>
          <w:tab w:val="left" w:pos="7275"/>
        </w:tabs>
        <w:spacing w:line="560" w:lineRule="exact"/>
        <w:ind w:firstLine="640"/>
        <w:rPr>
          <w:rFonts w:ascii="方正仿宋_GBK" w:eastAsia="方正仿宋_GBK"/>
          <w:sz w:val="32"/>
          <w:szCs w:val="32"/>
        </w:rPr>
      </w:pPr>
      <w:r>
        <w:rPr>
          <w:rFonts w:hint="eastAsia" w:ascii="方正仿宋_GBK" w:hAnsi="宋体" w:eastAsia="方正仿宋_GBK" w:cs="宋体"/>
          <w:color w:val="000000"/>
          <w:kern w:val="0"/>
          <w:sz w:val="32"/>
          <w:szCs w:val="32"/>
        </w:rPr>
        <w:t>指本年度从本级财政部门取得的财政拨款，包括一般公共预算财政拨款和政府性基金预算财政拨款。</w:t>
      </w:r>
    </w:p>
    <w:p w14:paraId="56095D23">
      <w:pPr>
        <w:pStyle w:val="11"/>
        <w:tabs>
          <w:tab w:val="center" w:pos="4153"/>
          <w:tab w:val="left" w:pos="7275"/>
        </w:tabs>
        <w:spacing w:line="560" w:lineRule="exact"/>
        <w:ind w:firstLine="643"/>
        <w:rPr>
          <w:rFonts w:ascii="方正仿宋_GBK" w:eastAsia="方正仿宋_GBK"/>
          <w:b/>
          <w:sz w:val="32"/>
          <w:szCs w:val="32"/>
        </w:rPr>
      </w:pPr>
      <w:r>
        <w:rPr>
          <w:rFonts w:hint="eastAsia" w:ascii="方正仿宋_GBK" w:eastAsia="方正仿宋_GBK"/>
          <w:b/>
          <w:sz w:val="32"/>
          <w:szCs w:val="32"/>
        </w:rPr>
        <w:t>（二）年初结转和结余</w:t>
      </w:r>
    </w:p>
    <w:p w14:paraId="4710746A">
      <w:pPr>
        <w:pStyle w:val="11"/>
        <w:tabs>
          <w:tab w:val="center" w:pos="4153"/>
          <w:tab w:val="left" w:pos="7275"/>
        </w:tabs>
        <w:spacing w:line="560" w:lineRule="exact"/>
        <w:ind w:firstLine="640"/>
        <w:rPr>
          <w:rFonts w:ascii="方正仿宋_GBK" w:eastAsia="方正仿宋_GBK"/>
          <w:sz w:val="32"/>
          <w:szCs w:val="32"/>
        </w:rPr>
      </w:pPr>
      <w:r>
        <w:rPr>
          <w:rFonts w:hint="eastAsia" w:ascii="方正仿宋_GBK" w:hAnsi="宋体" w:eastAsia="方正仿宋_GBK" w:cs="宋体"/>
          <w:color w:val="000000"/>
          <w:kern w:val="0"/>
          <w:sz w:val="32"/>
          <w:szCs w:val="32"/>
        </w:rPr>
        <w:t>指单位上年结转本年使用的基本支出结转、项目支出结转和结余、经营结余。</w:t>
      </w:r>
    </w:p>
    <w:p w14:paraId="01791EF9">
      <w:pPr>
        <w:pStyle w:val="11"/>
        <w:tabs>
          <w:tab w:val="center" w:pos="4153"/>
          <w:tab w:val="left" w:pos="7275"/>
        </w:tabs>
        <w:spacing w:line="560" w:lineRule="exact"/>
        <w:ind w:firstLine="643"/>
        <w:rPr>
          <w:rFonts w:ascii="方正仿宋_GBK" w:eastAsia="方正仿宋_GBK"/>
          <w:b/>
          <w:sz w:val="32"/>
          <w:szCs w:val="32"/>
        </w:rPr>
      </w:pPr>
      <w:r>
        <w:rPr>
          <w:rFonts w:hint="eastAsia" w:ascii="方正仿宋_GBK" w:eastAsia="方正仿宋_GBK"/>
          <w:b/>
          <w:sz w:val="32"/>
          <w:szCs w:val="32"/>
        </w:rPr>
        <w:t>（三）年末结转和结余</w:t>
      </w:r>
    </w:p>
    <w:p w14:paraId="1EA971EE">
      <w:pPr>
        <w:pStyle w:val="11"/>
        <w:tabs>
          <w:tab w:val="center" w:pos="4153"/>
          <w:tab w:val="left" w:pos="7275"/>
        </w:tabs>
        <w:spacing w:line="560" w:lineRule="exact"/>
        <w:ind w:firstLine="64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指单位结转下年的基本支出结转、项目支出结转和结余、经营结余。</w:t>
      </w:r>
    </w:p>
    <w:p w14:paraId="1A09C02F">
      <w:pPr>
        <w:pStyle w:val="11"/>
        <w:tabs>
          <w:tab w:val="center" w:pos="4153"/>
          <w:tab w:val="left" w:pos="7275"/>
        </w:tabs>
        <w:spacing w:line="560" w:lineRule="exact"/>
        <w:ind w:firstLine="643"/>
        <w:rPr>
          <w:rFonts w:ascii="方正仿宋_GBK" w:eastAsia="方正仿宋_GBK"/>
          <w:b/>
          <w:sz w:val="32"/>
          <w:szCs w:val="32"/>
        </w:rPr>
      </w:pPr>
      <w:r>
        <w:rPr>
          <w:rFonts w:hint="eastAsia" w:ascii="方正仿宋_GBK" w:eastAsia="方正仿宋_GBK"/>
          <w:b/>
          <w:sz w:val="32"/>
          <w:szCs w:val="32"/>
        </w:rPr>
        <w:t>（四）基本支出</w:t>
      </w:r>
    </w:p>
    <w:p w14:paraId="382BEDDF">
      <w:pPr>
        <w:pStyle w:val="11"/>
        <w:tabs>
          <w:tab w:val="center" w:pos="4153"/>
          <w:tab w:val="left" w:pos="7275"/>
        </w:tabs>
        <w:spacing w:line="560" w:lineRule="exact"/>
        <w:ind w:firstLine="64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3A5195B">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（五）项目支出</w:t>
      </w:r>
    </w:p>
    <w:p w14:paraId="3C0A46C5">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指在基本支出之外为完成特定行政任务和事业发展目标所发生的支出。</w:t>
      </w:r>
    </w:p>
    <w:p w14:paraId="4081065D">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（六）“三公”经费</w:t>
      </w:r>
    </w:p>
    <w:p w14:paraId="13CC4CF2">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DCDA07">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（七）机关运行经费</w:t>
      </w:r>
    </w:p>
    <w:p w14:paraId="3C68F755">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D97160">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（八）工资福利支出（支出经济分类科目类级）</w:t>
      </w:r>
    </w:p>
    <w:p w14:paraId="42553C0C">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反映单位开支的在职职工和编制外长期聘用人员的各类劳动报酬，以及为上述人员缴纳的各项社会保险费等。</w:t>
      </w:r>
    </w:p>
    <w:p w14:paraId="01BCA167">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（九）商品和服务支出（支出经济分类科目类级）</w:t>
      </w:r>
    </w:p>
    <w:p w14:paraId="028CA446">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反映单位购买商品和服务的支出（不包括用于购置固定资产的支出、战略性和应急储备支出）。</w:t>
      </w:r>
    </w:p>
    <w:p w14:paraId="0FD07E19">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（十）对个人和家庭的补助（支出经济分类科目类级）</w:t>
      </w:r>
    </w:p>
    <w:p w14:paraId="07E8FDDB">
      <w:pPr>
        <w:pStyle w:val="5"/>
        <w:shd w:val="clear" w:color="auto" w:fill="FFFFFF"/>
        <w:spacing w:before="0" w:beforeAutospacing="0" w:after="0" w:afterAutospacing="0" w:line="600" w:lineRule="exact"/>
        <w:ind w:firstLine="640" w:firstLineChars="200"/>
        <w:jc w:val="both"/>
        <w:rPr>
          <w:rFonts w:ascii="方正仿宋_GBK" w:eastAsia="方正仿宋_GBK"/>
          <w:color w:val="000000"/>
          <w:sz w:val="32"/>
          <w:szCs w:val="32"/>
        </w:rPr>
      </w:pPr>
      <w:r>
        <w:rPr>
          <w:rFonts w:hint="eastAsia" w:ascii="方正仿宋_GBK" w:eastAsia="方正仿宋_GBK"/>
          <w:color w:val="000000"/>
          <w:sz w:val="32"/>
          <w:szCs w:val="32"/>
        </w:rPr>
        <w:t>反映用于对个人和家庭的补助支出。</w:t>
      </w:r>
    </w:p>
    <w:p w14:paraId="55322D93">
      <w:pPr>
        <w:pStyle w:val="5"/>
        <w:shd w:val="clear" w:color="auto" w:fill="FFFFFF"/>
        <w:spacing w:before="0" w:beforeAutospacing="0" w:after="0" w:afterAutospacing="0" w:line="600" w:lineRule="exact"/>
        <w:ind w:firstLine="643" w:firstLineChars="200"/>
        <w:jc w:val="both"/>
        <w:rPr>
          <w:rFonts w:ascii="方正仿宋_GBK" w:hAnsi="Calibri" w:eastAsia="方正仿宋_GBK" w:cs="Times New Roman"/>
          <w:b/>
          <w:kern w:val="2"/>
          <w:sz w:val="32"/>
          <w:szCs w:val="32"/>
        </w:rPr>
      </w:pPr>
      <w:r>
        <w:rPr>
          <w:rFonts w:hint="eastAsia" w:ascii="方正仿宋_GBK" w:hAnsi="Calibri" w:eastAsia="方正仿宋_GBK" w:cs="Times New Roman"/>
          <w:b/>
          <w:kern w:val="2"/>
          <w:sz w:val="32"/>
          <w:szCs w:val="32"/>
        </w:rPr>
        <w:t>（十一）其他资本性支出（支出经济分类科目类级）</w:t>
      </w:r>
    </w:p>
    <w:p w14:paraId="2A025875">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color w:val="000000"/>
          <w:sz w:val="32"/>
          <w:szCs w:val="32"/>
        </w:rPr>
        <w:t>反映非各级发展与改革部门集中安排的用于购置固定资产、战略性和应急性储备、土地和无形资产，以及构建基础设施、大型修缮和财政支持企业更新改造所发生的支出。</w:t>
      </w:r>
    </w:p>
    <w:p w14:paraId="0F36E83F">
      <w:pPr>
        <w:ind w:firstLine="643" w:firstLineChars="200"/>
        <w:rPr>
          <w:rFonts w:ascii="方正仿宋_GBK" w:hAnsi="宋体" w:eastAsia="方正仿宋_GBK" w:cs="宋体"/>
          <w:b/>
          <w:color w:val="000000"/>
          <w:kern w:val="0"/>
          <w:sz w:val="32"/>
          <w:szCs w:val="32"/>
        </w:rPr>
      </w:pPr>
      <w:r>
        <w:rPr>
          <w:rFonts w:hint="eastAsia" w:ascii="方正仿宋_GBK" w:hAnsi="宋体" w:eastAsia="方正仿宋_GBK" w:cs="宋体"/>
          <w:b/>
          <w:color w:val="000000"/>
          <w:kern w:val="0"/>
          <w:sz w:val="32"/>
          <w:szCs w:val="32"/>
        </w:rPr>
        <w:t>七、决算公开联系方式及信息反馈渠道</w:t>
      </w:r>
    </w:p>
    <w:p w14:paraId="75AD5170">
      <w:pPr>
        <w:ind w:firstLine="64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本单位决算公开信息反馈和联系方式：办公电话023-62883101　</w:t>
      </w:r>
    </w:p>
    <w:p w14:paraId="52758885">
      <w:pPr>
        <w:rPr>
          <w:rFonts w:ascii="方正仿宋_GBK" w:eastAsia="方正仿宋_GBK"/>
          <w:sz w:val="32"/>
          <w:szCs w:val="32"/>
        </w:rPr>
      </w:pPr>
    </w:p>
    <w:sectPr>
      <w:headerReference r:id="rId3" w:type="default"/>
      <w:headerReference r:id="rId4" w:type="even"/>
      <w:pgSz w:w="11907" w:h="16839"/>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829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0FBB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915C3"/>
    <w:rsid w:val="000008A8"/>
    <w:rsid w:val="00002FD0"/>
    <w:rsid w:val="00003484"/>
    <w:rsid w:val="00003A70"/>
    <w:rsid w:val="000064B7"/>
    <w:rsid w:val="0001095D"/>
    <w:rsid w:val="00011269"/>
    <w:rsid w:val="00012F13"/>
    <w:rsid w:val="0001737A"/>
    <w:rsid w:val="00020B99"/>
    <w:rsid w:val="000220C9"/>
    <w:rsid w:val="0002213E"/>
    <w:rsid w:val="000233EF"/>
    <w:rsid w:val="00023D1A"/>
    <w:rsid w:val="0002472C"/>
    <w:rsid w:val="000248CE"/>
    <w:rsid w:val="00026529"/>
    <w:rsid w:val="000269B1"/>
    <w:rsid w:val="00026F04"/>
    <w:rsid w:val="0002761A"/>
    <w:rsid w:val="000306C1"/>
    <w:rsid w:val="00036232"/>
    <w:rsid w:val="0003669E"/>
    <w:rsid w:val="00037F64"/>
    <w:rsid w:val="00040B34"/>
    <w:rsid w:val="00041477"/>
    <w:rsid w:val="00041DCF"/>
    <w:rsid w:val="00042ED1"/>
    <w:rsid w:val="0004384D"/>
    <w:rsid w:val="00045AF4"/>
    <w:rsid w:val="00045FEC"/>
    <w:rsid w:val="00050672"/>
    <w:rsid w:val="00052DCF"/>
    <w:rsid w:val="00053495"/>
    <w:rsid w:val="000536C3"/>
    <w:rsid w:val="000545C3"/>
    <w:rsid w:val="00055EB1"/>
    <w:rsid w:val="00063F83"/>
    <w:rsid w:val="000670CA"/>
    <w:rsid w:val="00075DF3"/>
    <w:rsid w:val="00076E8D"/>
    <w:rsid w:val="0008017C"/>
    <w:rsid w:val="0008412F"/>
    <w:rsid w:val="00084C54"/>
    <w:rsid w:val="000859CC"/>
    <w:rsid w:val="00085AFA"/>
    <w:rsid w:val="000865C7"/>
    <w:rsid w:val="00087E7E"/>
    <w:rsid w:val="00091042"/>
    <w:rsid w:val="000939F9"/>
    <w:rsid w:val="00093A53"/>
    <w:rsid w:val="000957B2"/>
    <w:rsid w:val="000967D8"/>
    <w:rsid w:val="000968A3"/>
    <w:rsid w:val="00097080"/>
    <w:rsid w:val="000A11D7"/>
    <w:rsid w:val="000A2183"/>
    <w:rsid w:val="000A3D36"/>
    <w:rsid w:val="000A48FB"/>
    <w:rsid w:val="000A740F"/>
    <w:rsid w:val="000B37EA"/>
    <w:rsid w:val="000B437E"/>
    <w:rsid w:val="000B43D4"/>
    <w:rsid w:val="000B43E1"/>
    <w:rsid w:val="000B79A4"/>
    <w:rsid w:val="000B7E41"/>
    <w:rsid w:val="000C1DF1"/>
    <w:rsid w:val="000C272D"/>
    <w:rsid w:val="000C2A48"/>
    <w:rsid w:val="000C2F52"/>
    <w:rsid w:val="000C40F8"/>
    <w:rsid w:val="000C61DB"/>
    <w:rsid w:val="000C6593"/>
    <w:rsid w:val="000C6D5D"/>
    <w:rsid w:val="000C7C44"/>
    <w:rsid w:val="000D0812"/>
    <w:rsid w:val="000D1D9E"/>
    <w:rsid w:val="000D2252"/>
    <w:rsid w:val="000D26FD"/>
    <w:rsid w:val="000E0261"/>
    <w:rsid w:val="000F04B3"/>
    <w:rsid w:val="000F1D08"/>
    <w:rsid w:val="000F5DC3"/>
    <w:rsid w:val="00103242"/>
    <w:rsid w:val="00106080"/>
    <w:rsid w:val="00106282"/>
    <w:rsid w:val="00106988"/>
    <w:rsid w:val="00106B8F"/>
    <w:rsid w:val="0010724D"/>
    <w:rsid w:val="00110F57"/>
    <w:rsid w:val="0011432F"/>
    <w:rsid w:val="00114766"/>
    <w:rsid w:val="00116106"/>
    <w:rsid w:val="0011639B"/>
    <w:rsid w:val="00120B42"/>
    <w:rsid w:val="00120E13"/>
    <w:rsid w:val="00123F3A"/>
    <w:rsid w:val="0012674F"/>
    <w:rsid w:val="00127020"/>
    <w:rsid w:val="00127338"/>
    <w:rsid w:val="00132019"/>
    <w:rsid w:val="00132A6C"/>
    <w:rsid w:val="00132C1D"/>
    <w:rsid w:val="0013315E"/>
    <w:rsid w:val="0013523B"/>
    <w:rsid w:val="00135E14"/>
    <w:rsid w:val="00136B3B"/>
    <w:rsid w:val="001400C8"/>
    <w:rsid w:val="00140777"/>
    <w:rsid w:val="00141A9B"/>
    <w:rsid w:val="00142A8E"/>
    <w:rsid w:val="0014562A"/>
    <w:rsid w:val="001517BC"/>
    <w:rsid w:val="00152111"/>
    <w:rsid w:val="001546B2"/>
    <w:rsid w:val="00155281"/>
    <w:rsid w:val="00156858"/>
    <w:rsid w:val="00160A4A"/>
    <w:rsid w:val="00161B45"/>
    <w:rsid w:val="001637BC"/>
    <w:rsid w:val="0016432F"/>
    <w:rsid w:val="00167AE8"/>
    <w:rsid w:val="0017017F"/>
    <w:rsid w:val="001713DF"/>
    <w:rsid w:val="0017366A"/>
    <w:rsid w:val="00175445"/>
    <w:rsid w:val="00181374"/>
    <w:rsid w:val="00182281"/>
    <w:rsid w:val="00182A75"/>
    <w:rsid w:val="00183522"/>
    <w:rsid w:val="0018684A"/>
    <w:rsid w:val="001912B0"/>
    <w:rsid w:val="001935CE"/>
    <w:rsid w:val="00194643"/>
    <w:rsid w:val="00195CBE"/>
    <w:rsid w:val="00195E8C"/>
    <w:rsid w:val="00196398"/>
    <w:rsid w:val="001971BC"/>
    <w:rsid w:val="00197FB3"/>
    <w:rsid w:val="001A0D00"/>
    <w:rsid w:val="001A1A5B"/>
    <w:rsid w:val="001A343E"/>
    <w:rsid w:val="001A36EA"/>
    <w:rsid w:val="001A4932"/>
    <w:rsid w:val="001A52AF"/>
    <w:rsid w:val="001B06DF"/>
    <w:rsid w:val="001B11EB"/>
    <w:rsid w:val="001B2CF6"/>
    <w:rsid w:val="001C0F30"/>
    <w:rsid w:val="001C1A63"/>
    <w:rsid w:val="001C1D82"/>
    <w:rsid w:val="001C2F80"/>
    <w:rsid w:val="001C5CD8"/>
    <w:rsid w:val="001C7369"/>
    <w:rsid w:val="001C74E7"/>
    <w:rsid w:val="001C7A26"/>
    <w:rsid w:val="001D1B73"/>
    <w:rsid w:val="001D59C3"/>
    <w:rsid w:val="001D6A20"/>
    <w:rsid w:val="001D75DA"/>
    <w:rsid w:val="001E3825"/>
    <w:rsid w:val="001E4177"/>
    <w:rsid w:val="001E4361"/>
    <w:rsid w:val="001E66EE"/>
    <w:rsid w:val="001E76FD"/>
    <w:rsid w:val="001E78E7"/>
    <w:rsid w:val="001F097C"/>
    <w:rsid w:val="001F282E"/>
    <w:rsid w:val="001F2D28"/>
    <w:rsid w:val="001F3368"/>
    <w:rsid w:val="001F3775"/>
    <w:rsid w:val="001F5DD3"/>
    <w:rsid w:val="001F6331"/>
    <w:rsid w:val="00200C79"/>
    <w:rsid w:val="00201A73"/>
    <w:rsid w:val="00202C54"/>
    <w:rsid w:val="00203C9F"/>
    <w:rsid w:val="00204662"/>
    <w:rsid w:val="00204E5E"/>
    <w:rsid w:val="00206170"/>
    <w:rsid w:val="00207515"/>
    <w:rsid w:val="00207759"/>
    <w:rsid w:val="002078D1"/>
    <w:rsid w:val="00210757"/>
    <w:rsid w:val="00211F32"/>
    <w:rsid w:val="00212195"/>
    <w:rsid w:val="00213D27"/>
    <w:rsid w:val="00214C49"/>
    <w:rsid w:val="002153E3"/>
    <w:rsid w:val="00217086"/>
    <w:rsid w:val="00217835"/>
    <w:rsid w:val="002222A1"/>
    <w:rsid w:val="00224712"/>
    <w:rsid w:val="00225899"/>
    <w:rsid w:val="0022607E"/>
    <w:rsid w:val="00227B76"/>
    <w:rsid w:val="00230E70"/>
    <w:rsid w:val="00231D2E"/>
    <w:rsid w:val="00233719"/>
    <w:rsid w:val="002362EA"/>
    <w:rsid w:val="0023739B"/>
    <w:rsid w:val="00240C92"/>
    <w:rsid w:val="002442AE"/>
    <w:rsid w:val="00245348"/>
    <w:rsid w:val="00246D83"/>
    <w:rsid w:val="002478D0"/>
    <w:rsid w:val="00247987"/>
    <w:rsid w:val="00251E2F"/>
    <w:rsid w:val="002526F6"/>
    <w:rsid w:val="002529FB"/>
    <w:rsid w:val="002545B7"/>
    <w:rsid w:val="00254ED8"/>
    <w:rsid w:val="00257BC8"/>
    <w:rsid w:val="00260263"/>
    <w:rsid w:val="00260602"/>
    <w:rsid w:val="00263F1C"/>
    <w:rsid w:val="00266C89"/>
    <w:rsid w:val="002711F7"/>
    <w:rsid w:val="002726B0"/>
    <w:rsid w:val="002753C7"/>
    <w:rsid w:val="00276C84"/>
    <w:rsid w:val="00277B09"/>
    <w:rsid w:val="00277E0A"/>
    <w:rsid w:val="00280328"/>
    <w:rsid w:val="00280759"/>
    <w:rsid w:val="00285AC1"/>
    <w:rsid w:val="00286185"/>
    <w:rsid w:val="00287B87"/>
    <w:rsid w:val="00290925"/>
    <w:rsid w:val="00292925"/>
    <w:rsid w:val="002955E6"/>
    <w:rsid w:val="0029628C"/>
    <w:rsid w:val="00296C1B"/>
    <w:rsid w:val="002A3383"/>
    <w:rsid w:val="002A50DA"/>
    <w:rsid w:val="002A58C6"/>
    <w:rsid w:val="002A73F0"/>
    <w:rsid w:val="002B0113"/>
    <w:rsid w:val="002B13EB"/>
    <w:rsid w:val="002B1C6B"/>
    <w:rsid w:val="002B2104"/>
    <w:rsid w:val="002B2D96"/>
    <w:rsid w:val="002B34A5"/>
    <w:rsid w:val="002B4416"/>
    <w:rsid w:val="002C0572"/>
    <w:rsid w:val="002C0D0B"/>
    <w:rsid w:val="002C4956"/>
    <w:rsid w:val="002C4A4A"/>
    <w:rsid w:val="002C5AF4"/>
    <w:rsid w:val="002C60FD"/>
    <w:rsid w:val="002D0DC0"/>
    <w:rsid w:val="002D29F1"/>
    <w:rsid w:val="002D351E"/>
    <w:rsid w:val="002D3EE1"/>
    <w:rsid w:val="002E4026"/>
    <w:rsid w:val="002E59CF"/>
    <w:rsid w:val="002E6179"/>
    <w:rsid w:val="002E6597"/>
    <w:rsid w:val="002E7022"/>
    <w:rsid w:val="002F1BDB"/>
    <w:rsid w:val="002F5193"/>
    <w:rsid w:val="002F64C6"/>
    <w:rsid w:val="003007B2"/>
    <w:rsid w:val="00302307"/>
    <w:rsid w:val="00302384"/>
    <w:rsid w:val="00304122"/>
    <w:rsid w:val="00304356"/>
    <w:rsid w:val="00305EEB"/>
    <w:rsid w:val="00306598"/>
    <w:rsid w:val="00307F3A"/>
    <w:rsid w:val="00310E4D"/>
    <w:rsid w:val="0031105C"/>
    <w:rsid w:val="00311A66"/>
    <w:rsid w:val="003124D5"/>
    <w:rsid w:val="003128EF"/>
    <w:rsid w:val="00312A6E"/>
    <w:rsid w:val="003156F6"/>
    <w:rsid w:val="0032063C"/>
    <w:rsid w:val="0032295B"/>
    <w:rsid w:val="003231C5"/>
    <w:rsid w:val="00323DAA"/>
    <w:rsid w:val="00326F48"/>
    <w:rsid w:val="0032795A"/>
    <w:rsid w:val="003328C2"/>
    <w:rsid w:val="00334041"/>
    <w:rsid w:val="0033795E"/>
    <w:rsid w:val="0034247F"/>
    <w:rsid w:val="00342AA5"/>
    <w:rsid w:val="00345293"/>
    <w:rsid w:val="00346F38"/>
    <w:rsid w:val="00351395"/>
    <w:rsid w:val="00353165"/>
    <w:rsid w:val="00353224"/>
    <w:rsid w:val="00353D9F"/>
    <w:rsid w:val="003573BA"/>
    <w:rsid w:val="00357602"/>
    <w:rsid w:val="0035762F"/>
    <w:rsid w:val="00360758"/>
    <w:rsid w:val="00362FE8"/>
    <w:rsid w:val="00363625"/>
    <w:rsid w:val="00366B01"/>
    <w:rsid w:val="00366F4D"/>
    <w:rsid w:val="0037002D"/>
    <w:rsid w:val="00370661"/>
    <w:rsid w:val="00370C33"/>
    <w:rsid w:val="003711CD"/>
    <w:rsid w:val="00371FCF"/>
    <w:rsid w:val="00373A61"/>
    <w:rsid w:val="00374E7D"/>
    <w:rsid w:val="003753B2"/>
    <w:rsid w:val="00377574"/>
    <w:rsid w:val="003777CA"/>
    <w:rsid w:val="00377801"/>
    <w:rsid w:val="00381467"/>
    <w:rsid w:val="003816CB"/>
    <w:rsid w:val="00381716"/>
    <w:rsid w:val="0038413A"/>
    <w:rsid w:val="0038610D"/>
    <w:rsid w:val="003861B6"/>
    <w:rsid w:val="00386F55"/>
    <w:rsid w:val="003872C2"/>
    <w:rsid w:val="003876BD"/>
    <w:rsid w:val="0039033D"/>
    <w:rsid w:val="00392AD8"/>
    <w:rsid w:val="00392D05"/>
    <w:rsid w:val="00393439"/>
    <w:rsid w:val="0039414F"/>
    <w:rsid w:val="00394DC5"/>
    <w:rsid w:val="00395757"/>
    <w:rsid w:val="00395E6F"/>
    <w:rsid w:val="003A0528"/>
    <w:rsid w:val="003A2822"/>
    <w:rsid w:val="003A605B"/>
    <w:rsid w:val="003B0C76"/>
    <w:rsid w:val="003B3CBD"/>
    <w:rsid w:val="003B41AB"/>
    <w:rsid w:val="003B59F2"/>
    <w:rsid w:val="003B6176"/>
    <w:rsid w:val="003B73CA"/>
    <w:rsid w:val="003C0D5C"/>
    <w:rsid w:val="003C16B1"/>
    <w:rsid w:val="003C4EBF"/>
    <w:rsid w:val="003C5B16"/>
    <w:rsid w:val="003D0133"/>
    <w:rsid w:val="003D3367"/>
    <w:rsid w:val="003D36F8"/>
    <w:rsid w:val="003D3AB5"/>
    <w:rsid w:val="003D40B5"/>
    <w:rsid w:val="003D6324"/>
    <w:rsid w:val="003D6F05"/>
    <w:rsid w:val="003E226B"/>
    <w:rsid w:val="003E77AE"/>
    <w:rsid w:val="003F043D"/>
    <w:rsid w:val="003F0C4B"/>
    <w:rsid w:val="003F0EE5"/>
    <w:rsid w:val="003F19DA"/>
    <w:rsid w:val="003F63E2"/>
    <w:rsid w:val="003F7395"/>
    <w:rsid w:val="004000A7"/>
    <w:rsid w:val="0040030A"/>
    <w:rsid w:val="004006B2"/>
    <w:rsid w:val="004055D8"/>
    <w:rsid w:val="00405C1E"/>
    <w:rsid w:val="00405E1F"/>
    <w:rsid w:val="00406095"/>
    <w:rsid w:val="004071E0"/>
    <w:rsid w:val="00407EAF"/>
    <w:rsid w:val="00412319"/>
    <w:rsid w:val="00412E13"/>
    <w:rsid w:val="0041302F"/>
    <w:rsid w:val="00413341"/>
    <w:rsid w:val="00414994"/>
    <w:rsid w:val="00414C0B"/>
    <w:rsid w:val="0042093C"/>
    <w:rsid w:val="00421087"/>
    <w:rsid w:val="00421387"/>
    <w:rsid w:val="00423D3F"/>
    <w:rsid w:val="00424A08"/>
    <w:rsid w:val="00426727"/>
    <w:rsid w:val="00426B91"/>
    <w:rsid w:val="004348AC"/>
    <w:rsid w:val="004413B6"/>
    <w:rsid w:val="00442081"/>
    <w:rsid w:val="0044373C"/>
    <w:rsid w:val="00445BBE"/>
    <w:rsid w:val="004463BE"/>
    <w:rsid w:val="0045010D"/>
    <w:rsid w:val="00451CB5"/>
    <w:rsid w:val="00451FDE"/>
    <w:rsid w:val="004534C0"/>
    <w:rsid w:val="00453860"/>
    <w:rsid w:val="00453AD0"/>
    <w:rsid w:val="00453BF1"/>
    <w:rsid w:val="00455F8A"/>
    <w:rsid w:val="00456491"/>
    <w:rsid w:val="00462397"/>
    <w:rsid w:val="00463D64"/>
    <w:rsid w:val="004726CF"/>
    <w:rsid w:val="00474F38"/>
    <w:rsid w:val="0047692A"/>
    <w:rsid w:val="00480050"/>
    <w:rsid w:val="00481A3E"/>
    <w:rsid w:val="0048235D"/>
    <w:rsid w:val="004830A1"/>
    <w:rsid w:val="0048320B"/>
    <w:rsid w:val="004842F3"/>
    <w:rsid w:val="00485135"/>
    <w:rsid w:val="00485468"/>
    <w:rsid w:val="0048735E"/>
    <w:rsid w:val="004878D0"/>
    <w:rsid w:val="004878F1"/>
    <w:rsid w:val="00487A04"/>
    <w:rsid w:val="0049037A"/>
    <w:rsid w:val="00490BAC"/>
    <w:rsid w:val="004923DA"/>
    <w:rsid w:val="00492C56"/>
    <w:rsid w:val="00493042"/>
    <w:rsid w:val="004972CB"/>
    <w:rsid w:val="004A01DC"/>
    <w:rsid w:val="004A01F1"/>
    <w:rsid w:val="004A2400"/>
    <w:rsid w:val="004A2822"/>
    <w:rsid w:val="004A2B51"/>
    <w:rsid w:val="004A370D"/>
    <w:rsid w:val="004A3723"/>
    <w:rsid w:val="004A374D"/>
    <w:rsid w:val="004A62F6"/>
    <w:rsid w:val="004A74B2"/>
    <w:rsid w:val="004B1878"/>
    <w:rsid w:val="004B2C42"/>
    <w:rsid w:val="004B2F1F"/>
    <w:rsid w:val="004B3660"/>
    <w:rsid w:val="004B441F"/>
    <w:rsid w:val="004B71E1"/>
    <w:rsid w:val="004C055C"/>
    <w:rsid w:val="004C0977"/>
    <w:rsid w:val="004C255A"/>
    <w:rsid w:val="004C5DB7"/>
    <w:rsid w:val="004C6AB1"/>
    <w:rsid w:val="004D1886"/>
    <w:rsid w:val="004D20A7"/>
    <w:rsid w:val="004D2DAD"/>
    <w:rsid w:val="004D3253"/>
    <w:rsid w:val="004D4762"/>
    <w:rsid w:val="004D47CA"/>
    <w:rsid w:val="004D607C"/>
    <w:rsid w:val="004D7C3F"/>
    <w:rsid w:val="004E0998"/>
    <w:rsid w:val="004E254E"/>
    <w:rsid w:val="004E4486"/>
    <w:rsid w:val="004E5427"/>
    <w:rsid w:val="004E7479"/>
    <w:rsid w:val="004E791E"/>
    <w:rsid w:val="004F245B"/>
    <w:rsid w:val="004F3C72"/>
    <w:rsid w:val="004F63C0"/>
    <w:rsid w:val="004F6C7E"/>
    <w:rsid w:val="00503857"/>
    <w:rsid w:val="0050396A"/>
    <w:rsid w:val="00506850"/>
    <w:rsid w:val="00506A38"/>
    <w:rsid w:val="00510D90"/>
    <w:rsid w:val="0051413C"/>
    <w:rsid w:val="0051504A"/>
    <w:rsid w:val="0051719E"/>
    <w:rsid w:val="005209FA"/>
    <w:rsid w:val="00521016"/>
    <w:rsid w:val="005210E4"/>
    <w:rsid w:val="005216DA"/>
    <w:rsid w:val="0052521C"/>
    <w:rsid w:val="0053067A"/>
    <w:rsid w:val="00530E9D"/>
    <w:rsid w:val="00530EAF"/>
    <w:rsid w:val="005328CE"/>
    <w:rsid w:val="0053368D"/>
    <w:rsid w:val="00533A68"/>
    <w:rsid w:val="00533C72"/>
    <w:rsid w:val="005360F7"/>
    <w:rsid w:val="005361FD"/>
    <w:rsid w:val="00540146"/>
    <w:rsid w:val="00540609"/>
    <w:rsid w:val="00550677"/>
    <w:rsid w:val="005507D9"/>
    <w:rsid w:val="00552B93"/>
    <w:rsid w:val="00553233"/>
    <w:rsid w:val="005540AF"/>
    <w:rsid w:val="00554744"/>
    <w:rsid w:val="00555971"/>
    <w:rsid w:val="00556213"/>
    <w:rsid w:val="0055627E"/>
    <w:rsid w:val="0055663C"/>
    <w:rsid w:val="005629DE"/>
    <w:rsid w:val="00564164"/>
    <w:rsid w:val="0056568A"/>
    <w:rsid w:val="00567B3C"/>
    <w:rsid w:val="00571CD6"/>
    <w:rsid w:val="00573E97"/>
    <w:rsid w:val="005760A7"/>
    <w:rsid w:val="00577321"/>
    <w:rsid w:val="005773A3"/>
    <w:rsid w:val="00577F61"/>
    <w:rsid w:val="005822BE"/>
    <w:rsid w:val="005830F8"/>
    <w:rsid w:val="00583CFF"/>
    <w:rsid w:val="005849C4"/>
    <w:rsid w:val="00584ECC"/>
    <w:rsid w:val="00585D4F"/>
    <w:rsid w:val="00590608"/>
    <w:rsid w:val="00590C4A"/>
    <w:rsid w:val="00592488"/>
    <w:rsid w:val="00592530"/>
    <w:rsid w:val="00592CC4"/>
    <w:rsid w:val="005942FD"/>
    <w:rsid w:val="00594A94"/>
    <w:rsid w:val="0059574F"/>
    <w:rsid w:val="005968FB"/>
    <w:rsid w:val="005A0B44"/>
    <w:rsid w:val="005A1217"/>
    <w:rsid w:val="005A2C1A"/>
    <w:rsid w:val="005A43A2"/>
    <w:rsid w:val="005A4971"/>
    <w:rsid w:val="005A4C03"/>
    <w:rsid w:val="005A6064"/>
    <w:rsid w:val="005B0AF2"/>
    <w:rsid w:val="005B1351"/>
    <w:rsid w:val="005B215B"/>
    <w:rsid w:val="005B4EC4"/>
    <w:rsid w:val="005B66C6"/>
    <w:rsid w:val="005C0192"/>
    <w:rsid w:val="005C25E9"/>
    <w:rsid w:val="005C2B33"/>
    <w:rsid w:val="005C4394"/>
    <w:rsid w:val="005C4E58"/>
    <w:rsid w:val="005C58BA"/>
    <w:rsid w:val="005D176C"/>
    <w:rsid w:val="005D1917"/>
    <w:rsid w:val="005D1E37"/>
    <w:rsid w:val="005D4094"/>
    <w:rsid w:val="005D5799"/>
    <w:rsid w:val="005D7235"/>
    <w:rsid w:val="005D72D8"/>
    <w:rsid w:val="005E0CA4"/>
    <w:rsid w:val="005E3893"/>
    <w:rsid w:val="005E3D35"/>
    <w:rsid w:val="005E3D6C"/>
    <w:rsid w:val="005E4F04"/>
    <w:rsid w:val="005F23EE"/>
    <w:rsid w:val="005F2E22"/>
    <w:rsid w:val="005F39F5"/>
    <w:rsid w:val="005F3AD5"/>
    <w:rsid w:val="005F60AF"/>
    <w:rsid w:val="005F616F"/>
    <w:rsid w:val="005F7391"/>
    <w:rsid w:val="005F7F96"/>
    <w:rsid w:val="00602EB9"/>
    <w:rsid w:val="00606F33"/>
    <w:rsid w:val="00610A88"/>
    <w:rsid w:val="00611623"/>
    <w:rsid w:val="006123D6"/>
    <w:rsid w:val="00615BCE"/>
    <w:rsid w:val="00616651"/>
    <w:rsid w:val="00616790"/>
    <w:rsid w:val="00616C50"/>
    <w:rsid w:val="00621AF0"/>
    <w:rsid w:val="0062287D"/>
    <w:rsid w:val="00624167"/>
    <w:rsid w:val="00624B84"/>
    <w:rsid w:val="006252B4"/>
    <w:rsid w:val="00625FB7"/>
    <w:rsid w:val="00626130"/>
    <w:rsid w:val="00626DDC"/>
    <w:rsid w:val="0062766C"/>
    <w:rsid w:val="00627733"/>
    <w:rsid w:val="00632614"/>
    <w:rsid w:val="00636A83"/>
    <w:rsid w:val="00637E1E"/>
    <w:rsid w:val="00640ABF"/>
    <w:rsid w:val="00641213"/>
    <w:rsid w:val="00642357"/>
    <w:rsid w:val="00646D72"/>
    <w:rsid w:val="00646DB4"/>
    <w:rsid w:val="00647F66"/>
    <w:rsid w:val="00653832"/>
    <w:rsid w:val="0065567D"/>
    <w:rsid w:val="006617B2"/>
    <w:rsid w:val="00664BB2"/>
    <w:rsid w:val="00664FA3"/>
    <w:rsid w:val="0066711F"/>
    <w:rsid w:val="00670174"/>
    <w:rsid w:val="00675311"/>
    <w:rsid w:val="00675E43"/>
    <w:rsid w:val="006764CF"/>
    <w:rsid w:val="0068018F"/>
    <w:rsid w:val="006805D7"/>
    <w:rsid w:val="00680923"/>
    <w:rsid w:val="00680DDD"/>
    <w:rsid w:val="0068128E"/>
    <w:rsid w:val="00681C45"/>
    <w:rsid w:val="00682F03"/>
    <w:rsid w:val="00685178"/>
    <w:rsid w:val="006871DE"/>
    <w:rsid w:val="00687918"/>
    <w:rsid w:val="00690784"/>
    <w:rsid w:val="0069115B"/>
    <w:rsid w:val="00691401"/>
    <w:rsid w:val="00692E54"/>
    <w:rsid w:val="006939D6"/>
    <w:rsid w:val="00695567"/>
    <w:rsid w:val="006955DE"/>
    <w:rsid w:val="00697A94"/>
    <w:rsid w:val="006A0BD7"/>
    <w:rsid w:val="006A0DB4"/>
    <w:rsid w:val="006A116E"/>
    <w:rsid w:val="006A22C4"/>
    <w:rsid w:val="006A3547"/>
    <w:rsid w:val="006A3967"/>
    <w:rsid w:val="006A3BDE"/>
    <w:rsid w:val="006A3F29"/>
    <w:rsid w:val="006A3FFF"/>
    <w:rsid w:val="006A439F"/>
    <w:rsid w:val="006A4669"/>
    <w:rsid w:val="006A4D79"/>
    <w:rsid w:val="006A55A3"/>
    <w:rsid w:val="006A5EA7"/>
    <w:rsid w:val="006B3322"/>
    <w:rsid w:val="006B4DCD"/>
    <w:rsid w:val="006B500C"/>
    <w:rsid w:val="006B5A4F"/>
    <w:rsid w:val="006C20F5"/>
    <w:rsid w:val="006C363F"/>
    <w:rsid w:val="006C3A9F"/>
    <w:rsid w:val="006C3E99"/>
    <w:rsid w:val="006C4898"/>
    <w:rsid w:val="006C4AC5"/>
    <w:rsid w:val="006C59BD"/>
    <w:rsid w:val="006C7D57"/>
    <w:rsid w:val="006D0437"/>
    <w:rsid w:val="006D07B8"/>
    <w:rsid w:val="006D2B53"/>
    <w:rsid w:val="006D3691"/>
    <w:rsid w:val="006D66A9"/>
    <w:rsid w:val="006D69DD"/>
    <w:rsid w:val="006D6ADD"/>
    <w:rsid w:val="006D6C31"/>
    <w:rsid w:val="006E0411"/>
    <w:rsid w:val="006E3F99"/>
    <w:rsid w:val="006E5A53"/>
    <w:rsid w:val="006E6AD5"/>
    <w:rsid w:val="006E7EC9"/>
    <w:rsid w:val="006F06AA"/>
    <w:rsid w:val="006F0C5B"/>
    <w:rsid w:val="006F4D21"/>
    <w:rsid w:val="006F59F6"/>
    <w:rsid w:val="006F73E5"/>
    <w:rsid w:val="006F79A8"/>
    <w:rsid w:val="00701E57"/>
    <w:rsid w:val="007023DC"/>
    <w:rsid w:val="007037E3"/>
    <w:rsid w:val="007041E0"/>
    <w:rsid w:val="00704D3E"/>
    <w:rsid w:val="0070524A"/>
    <w:rsid w:val="007052F1"/>
    <w:rsid w:val="00710011"/>
    <w:rsid w:val="00710379"/>
    <w:rsid w:val="00710BFE"/>
    <w:rsid w:val="007110D8"/>
    <w:rsid w:val="00711459"/>
    <w:rsid w:val="00711A4B"/>
    <w:rsid w:val="00713348"/>
    <w:rsid w:val="007134E6"/>
    <w:rsid w:val="00716357"/>
    <w:rsid w:val="00716EF3"/>
    <w:rsid w:val="007215B9"/>
    <w:rsid w:val="00721D57"/>
    <w:rsid w:val="00727C36"/>
    <w:rsid w:val="007304AF"/>
    <w:rsid w:val="007310A4"/>
    <w:rsid w:val="00733B97"/>
    <w:rsid w:val="007340A4"/>
    <w:rsid w:val="00735DCE"/>
    <w:rsid w:val="007379A9"/>
    <w:rsid w:val="007405B4"/>
    <w:rsid w:val="00741AC4"/>
    <w:rsid w:val="00741CF3"/>
    <w:rsid w:val="007429B9"/>
    <w:rsid w:val="0074470B"/>
    <w:rsid w:val="00744EAB"/>
    <w:rsid w:val="00746337"/>
    <w:rsid w:val="00746D0A"/>
    <w:rsid w:val="00747F75"/>
    <w:rsid w:val="007536A5"/>
    <w:rsid w:val="00753B4D"/>
    <w:rsid w:val="00753D0A"/>
    <w:rsid w:val="00753EE5"/>
    <w:rsid w:val="00754A45"/>
    <w:rsid w:val="007552AD"/>
    <w:rsid w:val="00756D7A"/>
    <w:rsid w:val="0076267F"/>
    <w:rsid w:val="00763807"/>
    <w:rsid w:val="007659FC"/>
    <w:rsid w:val="00765A8E"/>
    <w:rsid w:val="00767D3B"/>
    <w:rsid w:val="0077083B"/>
    <w:rsid w:val="0077094C"/>
    <w:rsid w:val="00771811"/>
    <w:rsid w:val="00771AD8"/>
    <w:rsid w:val="00772CAD"/>
    <w:rsid w:val="00773840"/>
    <w:rsid w:val="00773DC5"/>
    <w:rsid w:val="0077563F"/>
    <w:rsid w:val="007768E0"/>
    <w:rsid w:val="00776AE7"/>
    <w:rsid w:val="00780C36"/>
    <w:rsid w:val="0078134D"/>
    <w:rsid w:val="00781B3F"/>
    <w:rsid w:val="007834C0"/>
    <w:rsid w:val="00783B18"/>
    <w:rsid w:val="00783F90"/>
    <w:rsid w:val="00785F69"/>
    <w:rsid w:val="007931C8"/>
    <w:rsid w:val="00793C7D"/>
    <w:rsid w:val="00794963"/>
    <w:rsid w:val="007A16B2"/>
    <w:rsid w:val="007A2A79"/>
    <w:rsid w:val="007A30DE"/>
    <w:rsid w:val="007A556D"/>
    <w:rsid w:val="007A5CC2"/>
    <w:rsid w:val="007A6342"/>
    <w:rsid w:val="007B788B"/>
    <w:rsid w:val="007C1DFA"/>
    <w:rsid w:val="007C3EAF"/>
    <w:rsid w:val="007C518E"/>
    <w:rsid w:val="007C7774"/>
    <w:rsid w:val="007C78B4"/>
    <w:rsid w:val="007C7C85"/>
    <w:rsid w:val="007D0BBA"/>
    <w:rsid w:val="007D1C20"/>
    <w:rsid w:val="007D6CCF"/>
    <w:rsid w:val="007D7356"/>
    <w:rsid w:val="007D7FC6"/>
    <w:rsid w:val="007E00B3"/>
    <w:rsid w:val="007E027F"/>
    <w:rsid w:val="007E3F97"/>
    <w:rsid w:val="007E4ED1"/>
    <w:rsid w:val="007E5D46"/>
    <w:rsid w:val="007E678E"/>
    <w:rsid w:val="007E6935"/>
    <w:rsid w:val="007E693C"/>
    <w:rsid w:val="007F16D2"/>
    <w:rsid w:val="007F1DA1"/>
    <w:rsid w:val="007F2751"/>
    <w:rsid w:val="007F3DF1"/>
    <w:rsid w:val="007F455E"/>
    <w:rsid w:val="007F703E"/>
    <w:rsid w:val="007F7AD2"/>
    <w:rsid w:val="007F7F20"/>
    <w:rsid w:val="00800D14"/>
    <w:rsid w:val="0080222E"/>
    <w:rsid w:val="0080288D"/>
    <w:rsid w:val="00803791"/>
    <w:rsid w:val="00803A36"/>
    <w:rsid w:val="008040AC"/>
    <w:rsid w:val="008040C7"/>
    <w:rsid w:val="0080785E"/>
    <w:rsid w:val="0081256A"/>
    <w:rsid w:val="00813E61"/>
    <w:rsid w:val="00816056"/>
    <w:rsid w:val="0082023D"/>
    <w:rsid w:val="00820C7D"/>
    <w:rsid w:val="008218EE"/>
    <w:rsid w:val="008231C7"/>
    <w:rsid w:val="0082531F"/>
    <w:rsid w:val="00827074"/>
    <w:rsid w:val="00830BA6"/>
    <w:rsid w:val="00830D7F"/>
    <w:rsid w:val="0083159F"/>
    <w:rsid w:val="008325E8"/>
    <w:rsid w:val="00833BFD"/>
    <w:rsid w:val="0083442D"/>
    <w:rsid w:val="00835E3F"/>
    <w:rsid w:val="00836955"/>
    <w:rsid w:val="00836B7B"/>
    <w:rsid w:val="008373E4"/>
    <w:rsid w:val="00837A52"/>
    <w:rsid w:val="00837C32"/>
    <w:rsid w:val="00837EFB"/>
    <w:rsid w:val="008456B3"/>
    <w:rsid w:val="00845DA0"/>
    <w:rsid w:val="008462AD"/>
    <w:rsid w:val="00846391"/>
    <w:rsid w:val="00846D3C"/>
    <w:rsid w:val="00850CBB"/>
    <w:rsid w:val="00852F9E"/>
    <w:rsid w:val="008564F6"/>
    <w:rsid w:val="00856CCB"/>
    <w:rsid w:val="008570E0"/>
    <w:rsid w:val="00860864"/>
    <w:rsid w:val="0086321A"/>
    <w:rsid w:val="00863B13"/>
    <w:rsid w:val="00863F33"/>
    <w:rsid w:val="00864973"/>
    <w:rsid w:val="008670D4"/>
    <w:rsid w:val="008704E7"/>
    <w:rsid w:val="00870A82"/>
    <w:rsid w:val="00870B3E"/>
    <w:rsid w:val="0087203F"/>
    <w:rsid w:val="008722A8"/>
    <w:rsid w:val="008724F3"/>
    <w:rsid w:val="00873025"/>
    <w:rsid w:val="00877CFE"/>
    <w:rsid w:val="00881BEA"/>
    <w:rsid w:val="00883535"/>
    <w:rsid w:val="008845AA"/>
    <w:rsid w:val="0088460E"/>
    <w:rsid w:val="00887A9F"/>
    <w:rsid w:val="00891823"/>
    <w:rsid w:val="00893840"/>
    <w:rsid w:val="00894D8D"/>
    <w:rsid w:val="00894FC7"/>
    <w:rsid w:val="0089673D"/>
    <w:rsid w:val="00897250"/>
    <w:rsid w:val="00897666"/>
    <w:rsid w:val="0089773B"/>
    <w:rsid w:val="008A0060"/>
    <w:rsid w:val="008A073C"/>
    <w:rsid w:val="008A0B11"/>
    <w:rsid w:val="008A35A6"/>
    <w:rsid w:val="008A36F6"/>
    <w:rsid w:val="008A37EA"/>
    <w:rsid w:val="008A4961"/>
    <w:rsid w:val="008A7B9D"/>
    <w:rsid w:val="008B35A7"/>
    <w:rsid w:val="008B65DB"/>
    <w:rsid w:val="008B73C6"/>
    <w:rsid w:val="008B74DE"/>
    <w:rsid w:val="008B7A3C"/>
    <w:rsid w:val="008C23B6"/>
    <w:rsid w:val="008C2412"/>
    <w:rsid w:val="008C4F0B"/>
    <w:rsid w:val="008C514B"/>
    <w:rsid w:val="008C69D1"/>
    <w:rsid w:val="008C7167"/>
    <w:rsid w:val="008C7295"/>
    <w:rsid w:val="008D11C7"/>
    <w:rsid w:val="008D4EA8"/>
    <w:rsid w:val="008D7EBF"/>
    <w:rsid w:val="008E010F"/>
    <w:rsid w:val="008E4382"/>
    <w:rsid w:val="008E4A99"/>
    <w:rsid w:val="008E4AA9"/>
    <w:rsid w:val="008E542F"/>
    <w:rsid w:val="008E557C"/>
    <w:rsid w:val="008E63C2"/>
    <w:rsid w:val="008E6CBD"/>
    <w:rsid w:val="008E74E7"/>
    <w:rsid w:val="008F04C4"/>
    <w:rsid w:val="008F04D9"/>
    <w:rsid w:val="008F33B1"/>
    <w:rsid w:val="008F5637"/>
    <w:rsid w:val="008F578A"/>
    <w:rsid w:val="0090178D"/>
    <w:rsid w:val="00901CC2"/>
    <w:rsid w:val="00902938"/>
    <w:rsid w:val="00902C1D"/>
    <w:rsid w:val="00906013"/>
    <w:rsid w:val="00907966"/>
    <w:rsid w:val="00907EEC"/>
    <w:rsid w:val="0091258E"/>
    <w:rsid w:val="00912ABC"/>
    <w:rsid w:val="00912BE8"/>
    <w:rsid w:val="00912DD3"/>
    <w:rsid w:val="00915385"/>
    <w:rsid w:val="00915D34"/>
    <w:rsid w:val="00917021"/>
    <w:rsid w:val="00920A9D"/>
    <w:rsid w:val="00920E60"/>
    <w:rsid w:val="00926114"/>
    <w:rsid w:val="00926C7E"/>
    <w:rsid w:val="00927F40"/>
    <w:rsid w:val="009311A7"/>
    <w:rsid w:val="0093296D"/>
    <w:rsid w:val="009334BA"/>
    <w:rsid w:val="00933A26"/>
    <w:rsid w:val="0093408C"/>
    <w:rsid w:val="0093451A"/>
    <w:rsid w:val="00934E16"/>
    <w:rsid w:val="00937D7C"/>
    <w:rsid w:val="0094155B"/>
    <w:rsid w:val="00944466"/>
    <w:rsid w:val="00944610"/>
    <w:rsid w:val="00945454"/>
    <w:rsid w:val="0094575D"/>
    <w:rsid w:val="00945DB3"/>
    <w:rsid w:val="0094683F"/>
    <w:rsid w:val="0094692A"/>
    <w:rsid w:val="00947664"/>
    <w:rsid w:val="009479FE"/>
    <w:rsid w:val="00947ED1"/>
    <w:rsid w:val="00950013"/>
    <w:rsid w:val="00950809"/>
    <w:rsid w:val="00951658"/>
    <w:rsid w:val="00952F49"/>
    <w:rsid w:val="009530E9"/>
    <w:rsid w:val="00953CF9"/>
    <w:rsid w:val="00961CB0"/>
    <w:rsid w:val="0096239E"/>
    <w:rsid w:val="009655D3"/>
    <w:rsid w:val="0096719A"/>
    <w:rsid w:val="00967316"/>
    <w:rsid w:val="00967D9D"/>
    <w:rsid w:val="009711C7"/>
    <w:rsid w:val="009715D5"/>
    <w:rsid w:val="009718DB"/>
    <w:rsid w:val="00971D92"/>
    <w:rsid w:val="00972023"/>
    <w:rsid w:val="009733A3"/>
    <w:rsid w:val="00974379"/>
    <w:rsid w:val="009772CB"/>
    <w:rsid w:val="00977D15"/>
    <w:rsid w:val="009808D2"/>
    <w:rsid w:val="00982A10"/>
    <w:rsid w:val="00982AFA"/>
    <w:rsid w:val="00983C18"/>
    <w:rsid w:val="00983FF8"/>
    <w:rsid w:val="009849D5"/>
    <w:rsid w:val="0098586C"/>
    <w:rsid w:val="00985DAB"/>
    <w:rsid w:val="009872F3"/>
    <w:rsid w:val="00987D52"/>
    <w:rsid w:val="00990086"/>
    <w:rsid w:val="00991150"/>
    <w:rsid w:val="009915C3"/>
    <w:rsid w:val="009923A7"/>
    <w:rsid w:val="009927D1"/>
    <w:rsid w:val="00992F3C"/>
    <w:rsid w:val="0099324A"/>
    <w:rsid w:val="00993BB5"/>
    <w:rsid w:val="00995D5D"/>
    <w:rsid w:val="00995DE5"/>
    <w:rsid w:val="0099646F"/>
    <w:rsid w:val="00996A6D"/>
    <w:rsid w:val="009A0C4A"/>
    <w:rsid w:val="009A0FA6"/>
    <w:rsid w:val="009A31EF"/>
    <w:rsid w:val="009A3E64"/>
    <w:rsid w:val="009A43A4"/>
    <w:rsid w:val="009A5076"/>
    <w:rsid w:val="009C0101"/>
    <w:rsid w:val="009C0B03"/>
    <w:rsid w:val="009C13BA"/>
    <w:rsid w:val="009C14DB"/>
    <w:rsid w:val="009C2B39"/>
    <w:rsid w:val="009C430E"/>
    <w:rsid w:val="009C70EC"/>
    <w:rsid w:val="009C7777"/>
    <w:rsid w:val="009D64A5"/>
    <w:rsid w:val="009D7056"/>
    <w:rsid w:val="009D7D54"/>
    <w:rsid w:val="009D7F64"/>
    <w:rsid w:val="009E0BC8"/>
    <w:rsid w:val="009E1AA5"/>
    <w:rsid w:val="009E34B1"/>
    <w:rsid w:val="009E68C2"/>
    <w:rsid w:val="009F02A8"/>
    <w:rsid w:val="009F232D"/>
    <w:rsid w:val="009F2B3C"/>
    <w:rsid w:val="009F2BE8"/>
    <w:rsid w:val="009F4244"/>
    <w:rsid w:val="009F7B81"/>
    <w:rsid w:val="00A01A1D"/>
    <w:rsid w:val="00A01E40"/>
    <w:rsid w:val="00A02A16"/>
    <w:rsid w:val="00A04245"/>
    <w:rsid w:val="00A04674"/>
    <w:rsid w:val="00A05EF8"/>
    <w:rsid w:val="00A1105F"/>
    <w:rsid w:val="00A11102"/>
    <w:rsid w:val="00A1177C"/>
    <w:rsid w:val="00A11D67"/>
    <w:rsid w:val="00A144E4"/>
    <w:rsid w:val="00A1674A"/>
    <w:rsid w:val="00A16F29"/>
    <w:rsid w:val="00A20259"/>
    <w:rsid w:val="00A2578E"/>
    <w:rsid w:val="00A318D3"/>
    <w:rsid w:val="00A32DA2"/>
    <w:rsid w:val="00A32E49"/>
    <w:rsid w:val="00A3387E"/>
    <w:rsid w:val="00A33896"/>
    <w:rsid w:val="00A3400D"/>
    <w:rsid w:val="00A35334"/>
    <w:rsid w:val="00A37027"/>
    <w:rsid w:val="00A3708A"/>
    <w:rsid w:val="00A370B9"/>
    <w:rsid w:val="00A43435"/>
    <w:rsid w:val="00A46B61"/>
    <w:rsid w:val="00A50E73"/>
    <w:rsid w:val="00A52863"/>
    <w:rsid w:val="00A545AA"/>
    <w:rsid w:val="00A54C70"/>
    <w:rsid w:val="00A5547E"/>
    <w:rsid w:val="00A57D63"/>
    <w:rsid w:val="00A6286A"/>
    <w:rsid w:val="00A64D45"/>
    <w:rsid w:val="00A652F1"/>
    <w:rsid w:val="00A65EDE"/>
    <w:rsid w:val="00A67545"/>
    <w:rsid w:val="00A7020D"/>
    <w:rsid w:val="00A716DB"/>
    <w:rsid w:val="00A71C7D"/>
    <w:rsid w:val="00A72093"/>
    <w:rsid w:val="00A737FF"/>
    <w:rsid w:val="00A7388E"/>
    <w:rsid w:val="00A74641"/>
    <w:rsid w:val="00A7560D"/>
    <w:rsid w:val="00A764B3"/>
    <w:rsid w:val="00A768DC"/>
    <w:rsid w:val="00A77F56"/>
    <w:rsid w:val="00A803A4"/>
    <w:rsid w:val="00A81457"/>
    <w:rsid w:val="00A8197B"/>
    <w:rsid w:val="00A82FD7"/>
    <w:rsid w:val="00A839FE"/>
    <w:rsid w:val="00A85C38"/>
    <w:rsid w:val="00A8601D"/>
    <w:rsid w:val="00A875E2"/>
    <w:rsid w:val="00A87685"/>
    <w:rsid w:val="00A87FE0"/>
    <w:rsid w:val="00A91632"/>
    <w:rsid w:val="00A91AFE"/>
    <w:rsid w:val="00A92231"/>
    <w:rsid w:val="00A92CA4"/>
    <w:rsid w:val="00A92EA6"/>
    <w:rsid w:val="00A93A01"/>
    <w:rsid w:val="00A94378"/>
    <w:rsid w:val="00AA0286"/>
    <w:rsid w:val="00AA1DA8"/>
    <w:rsid w:val="00AA232C"/>
    <w:rsid w:val="00AA7592"/>
    <w:rsid w:val="00AB09C4"/>
    <w:rsid w:val="00AB12A8"/>
    <w:rsid w:val="00AB213A"/>
    <w:rsid w:val="00AB41AE"/>
    <w:rsid w:val="00AB498B"/>
    <w:rsid w:val="00AB4FF8"/>
    <w:rsid w:val="00AB6352"/>
    <w:rsid w:val="00AB6D36"/>
    <w:rsid w:val="00AC0D4F"/>
    <w:rsid w:val="00AC51B3"/>
    <w:rsid w:val="00AC586F"/>
    <w:rsid w:val="00AC5D80"/>
    <w:rsid w:val="00AD0263"/>
    <w:rsid w:val="00AD07D4"/>
    <w:rsid w:val="00AD56D6"/>
    <w:rsid w:val="00AD6096"/>
    <w:rsid w:val="00AD680B"/>
    <w:rsid w:val="00AD6CA1"/>
    <w:rsid w:val="00AE1AE2"/>
    <w:rsid w:val="00AE335D"/>
    <w:rsid w:val="00AE397E"/>
    <w:rsid w:val="00AE3ED5"/>
    <w:rsid w:val="00AE6B48"/>
    <w:rsid w:val="00AF0A0A"/>
    <w:rsid w:val="00AF1A51"/>
    <w:rsid w:val="00AF2D22"/>
    <w:rsid w:val="00AF4BE7"/>
    <w:rsid w:val="00AF4F4A"/>
    <w:rsid w:val="00AF50E8"/>
    <w:rsid w:val="00AF518C"/>
    <w:rsid w:val="00AF571C"/>
    <w:rsid w:val="00AF5923"/>
    <w:rsid w:val="00AF60B3"/>
    <w:rsid w:val="00B01567"/>
    <w:rsid w:val="00B05272"/>
    <w:rsid w:val="00B053C8"/>
    <w:rsid w:val="00B05B85"/>
    <w:rsid w:val="00B10AFC"/>
    <w:rsid w:val="00B12E59"/>
    <w:rsid w:val="00B1318F"/>
    <w:rsid w:val="00B150D9"/>
    <w:rsid w:val="00B161D5"/>
    <w:rsid w:val="00B169CB"/>
    <w:rsid w:val="00B209BF"/>
    <w:rsid w:val="00B22E8E"/>
    <w:rsid w:val="00B24AA1"/>
    <w:rsid w:val="00B24CC1"/>
    <w:rsid w:val="00B26009"/>
    <w:rsid w:val="00B2777D"/>
    <w:rsid w:val="00B30AD2"/>
    <w:rsid w:val="00B3109A"/>
    <w:rsid w:val="00B3258A"/>
    <w:rsid w:val="00B32E24"/>
    <w:rsid w:val="00B33B4B"/>
    <w:rsid w:val="00B34278"/>
    <w:rsid w:val="00B34ED8"/>
    <w:rsid w:val="00B35253"/>
    <w:rsid w:val="00B41EE3"/>
    <w:rsid w:val="00B42F57"/>
    <w:rsid w:val="00B43BD8"/>
    <w:rsid w:val="00B43E50"/>
    <w:rsid w:val="00B4426D"/>
    <w:rsid w:val="00B45201"/>
    <w:rsid w:val="00B45FD4"/>
    <w:rsid w:val="00B47B0C"/>
    <w:rsid w:val="00B47CC9"/>
    <w:rsid w:val="00B51248"/>
    <w:rsid w:val="00B51662"/>
    <w:rsid w:val="00B52616"/>
    <w:rsid w:val="00B539DB"/>
    <w:rsid w:val="00B53E31"/>
    <w:rsid w:val="00B54356"/>
    <w:rsid w:val="00B5726D"/>
    <w:rsid w:val="00B57D76"/>
    <w:rsid w:val="00B60090"/>
    <w:rsid w:val="00B609DF"/>
    <w:rsid w:val="00B618F3"/>
    <w:rsid w:val="00B62422"/>
    <w:rsid w:val="00B62FF1"/>
    <w:rsid w:val="00B64076"/>
    <w:rsid w:val="00B642F5"/>
    <w:rsid w:val="00B65BDD"/>
    <w:rsid w:val="00B66A34"/>
    <w:rsid w:val="00B67E02"/>
    <w:rsid w:val="00B71689"/>
    <w:rsid w:val="00B71FF0"/>
    <w:rsid w:val="00B76EC0"/>
    <w:rsid w:val="00B80573"/>
    <w:rsid w:val="00B824F7"/>
    <w:rsid w:val="00B827A8"/>
    <w:rsid w:val="00B83493"/>
    <w:rsid w:val="00B84C47"/>
    <w:rsid w:val="00B85629"/>
    <w:rsid w:val="00B903BD"/>
    <w:rsid w:val="00B90613"/>
    <w:rsid w:val="00B91C3A"/>
    <w:rsid w:val="00B93831"/>
    <w:rsid w:val="00B93910"/>
    <w:rsid w:val="00B95972"/>
    <w:rsid w:val="00B96C45"/>
    <w:rsid w:val="00BA036E"/>
    <w:rsid w:val="00BA2215"/>
    <w:rsid w:val="00BA2CAF"/>
    <w:rsid w:val="00BA362E"/>
    <w:rsid w:val="00BA3C0B"/>
    <w:rsid w:val="00BA632D"/>
    <w:rsid w:val="00BA69BE"/>
    <w:rsid w:val="00BB3A27"/>
    <w:rsid w:val="00BC10CC"/>
    <w:rsid w:val="00BC3687"/>
    <w:rsid w:val="00BC38C6"/>
    <w:rsid w:val="00BC63CF"/>
    <w:rsid w:val="00BC7AF7"/>
    <w:rsid w:val="00BD120E"/>
    <w:rsid w:val="00BD295B"/>
    <w:rsid w:val="00BD34F3"/>
    <w:rsid w:val="00BD3CC5"/>
    <w:rsid w:val="00BD6304"/>
    <w:rsid w:val="00BE0C0D"/>
    <w:rsid w:val="00BE0DF9"/>
    <w:rsid w:val="00BE0F9D"/>
    <w:rsid w:val="00BE2FAC"/>
    <w:rsid w:val="00BE4150"/>
    <w:rsid w:val="00BE44A7"/>
    <w:rsid w:val="00BE6809"/>
    <w:rsid w:val="00BF04B5"/>
    <w:rsid w:val="00BF0C6F"/>
    <w:rsid w:val="00BF16DD"/>
    <w:rsid w:val="00BF341B"/>
    <w:rsid w:val="00BF42D4"/>
    <w:rsid w:val="00BF7288"/>
    <w:rsid w:val="00C002EE"/>
    <w:rsid w:val="00C01CC6"/>
    <w:rsid w:val="00C03F5E"/>
    <w:rsid w:val="00C043C4"/>
    <w:rsid w:val="00C0632F"/>
    <w:rsid w:val="00C11519"/>
    <w:rsid w:val="00C1289B"/>
    <w:rsid w:val="00C13C4A"/>
    <w:rsid w:val="00C14CF1"/>
    <w:rsid w:val="00C1531C"/>
    <w:rsid w:val="00C15B6E"/>
    <w:rsid w:val="00C15CF5"/>
    <w:rsid w:val="00C15D01"/>
    <w:rsid w:val="00C1771B"/>
    <w:rsid w:val="00C20203"/>
    <w:rsid w:val="00C220F6"/>
    <w:rsid w:val="00C23329"/>
    <w:rsid w:val="00C265AB"/>
    <w:rsid w:val="00C266F3"/>
    <w:rsid w:val="00C2798D"/>
    <w:rsid w:val="00C30C3E"/>
    <w:rsid w:val="00C33D23"/>
    <w:rsid w:val="00C40CC8"/>
    <w:rsid w:val="00C41FB4"/>
    <w:rsid w:val="00C4341C"/>
    <w:rsid w:val="00C436E8"/>
    <w:rsid w:val="00C45B50"/>
    <w:rsid w:val="00C45FDE"/>
    <w:rsid w:val="00C47EA2"/>
    <w:rsid w:val="00C51FFE"/>
    <w:rsid w:val="00C554F1"/>
    <w:rsid w:val="00C559B1"/>
    <w:rsid w:val="00C55EF2"/>
    <w:rsid w:val="00C56788"/>
    <w:rsid w:val="00C575F4"/>
    <w:rsid w:val="00C66084"/>
    <w:rsid w:val="00C707CD"/>
    <w:rsid w:val="00C7317E"/>
    <w:rsid w:val="00C74579"/>
    <w:rsid w:val="00C7462B"/>
    <w:rsid w:val="00C74DAB"/>
    <w:rsid w:val="00C83DFA"/>
    <w:rsid w:val="00C8511E"/>
    <w:rsid w:val="00C86355"/>
    <w:rsid w:val="00C86526"/>
    <w:rsid w:val="00C87FAD"/>
    <w:rsid w:val="00C9220E"/>
    <w:rsid w:val="00C923E2"/>
    <w:rsid w:val="00C94C24"/>
    <w:rsid w:val="00C9566A"/>
    <w:rsid w:val="00C96CAD"/>
    <w:rsid w:val="00CA06B7"/>
    <w:rsid w:val="00CA0B53"/>
    <w:rsid w:val="00CA0C31"/>
    <w:rsid w:val="00CA0DDE"/>
    <w:rsid w:val="00CA1E9F"/>
    <w:rsid w:val="00CA2BC4"/>
    <w:rsid w:val="00CA3DCA"/>
    <w:rsid w:val="00CA3F35"/>
    <w:rsid w:val="00CA4745"/>
    <w:rsid w:val="00CA518D"/>
    <w:rsid w:val="00CA5BF5"/>
    <w:rsid w:val="00CA5C2E"/>
    <w:rsid w:val="00CA5D7C"/>
    <w:rsid w:val="00CA7E74"/>
    <w:rsid w:val="00CB2EA2"/>
    <w:rsid w:val="00CB3101"/>
    <w:rsid w:val="00CB318E"/>
    <w:rsid w:val="00CB50DC"/>
    <w:rsid w:val="00CC26C8"/>
    <w:rsid w:val="00CC526E"/>
    <w:rsid w:val="00CC779E"/>
    <w:rsid w:val="00CC7FDA"/>
    <w:rsid w:val="00CD04E4"/>
    <w:rsid w:val="00CD4295"/>
    <w:rsid w:val="00CD4A6F"/>
    <w:rsid w:val="00CD7560"/>
    <w:rsid w:val="00CD7732"/>
    <w:rsid w:val="00CE0B01"/>
    <w:rsid w:val="00CE2B33"/>
    <w:rsid w:val="00CE2BB2"/>
    <w:rsid w:val="00CE3A10"/>
    <w:rsid w:val="00CE3F13"/>
    <w:rsid w:val="00CE543C"/>
    <w:rsid w:val="00CE6115"/>
    <w:rsid w:val="00CE67F6"/>
    <w:rsid w:val="00CE7D24"/>
    <w:rsid w:val="00CE7DBE"/>
    <w:rsid w:val="00CF0906"/>
    <w:rsid w:val="00CF1080"/>
    <w:rsid w:val="00CF26DA"/>
    <w:rsid w:val="00CF3DA4"/>
    <w:rsid w:val="00CF4078"/>
    <w:rsid w:val="00CF40CA"/>
    <w:rsid w:val="00CF44D5"/>
    <w:rsid w:val="00CF49DA"/>
    <w:rsid w:val="00CF4DE2"/>
    <w:rsid w:val="00CF4F85"/>
    <w:rsid w:val="00CF50F5"/>
    <w:rsid w:val="00D0098F"/>
    <w:rsid w:val="00D0363F"/>
    <w:rsid w:val="00D04453"/>
    <w:rsid w:val="00D05442"/>
    <w:rsid w:val="00D0774C"/>
    <w:rsid w:val="00D10315"/>
    <w:rsid w:val="00D10AB6"/>
    <w:rsid w:val="00D14B8C"/>
    <w:rsid w:val="00D1699C"/>
    <w:rsid w:val="00D176EB"/>
    <w:rsid w:val="00D21189"/>
    <w:rsid w:val="00D218D5"/>
    <w:rsid w:val="00D23F83"/>
    <w:rsid w:val="00D24219"/>
    <w:rsid w:val="00D26529"/>
    <w:rsid w:val="00D26F9B"/>
    <w:rsid w:val="00D30694"/>
    <w:rsid w:val="00D3158F"/>
    <w:rsid w:val="00D321CE"/>
    <w:rsid w:val="00D370A7"/>
    <w:rsid w:val="00D40347"/>
    <w:rsid w:val="00D40B9F"/>
    <w:rsid w:val="00D42CA3"/>
    <w:rsid w:val="00D4408E"/>
    <w:rsid w:val="00D466E2"/>
    <w:rsid w:val="00D46B0F"/>
    <w:rsid w:val="00D46C70"/>
    <w:rsid w:val="00D50017"/>
    <w:rsid w:val="00D504B2"/>
    <w:rsid w:val="00D531A7"/>
    <w:rsid w:val="00D54B76"/>
    <w:rsid w:val="00D55045"/>
    <w:rsid w:val="00D5690C"/>
    <w:rsid w:val="00D57E4B"/>
    <w:rsid w:val="00D60379"/>
    <w:rsid w:val="00D603FB"/>
    <w:rsid w:val="00D60DF1"/>
    <w:rsid w:val="00D61ECB"/>
    <w:rsid w:val="00D64A5A"/>
    <w:rsid w:val="00D653ED"/>
    <w:rsid w:val="00D7050B"/>
    <w:rsid w:val="00D7123D"/>
    <w:rsid w:val="00D71641"/>
    <w:rsid w:val="00D72EA7"/>
    <w:rsid w:val="00D73BD2"/>
    <w:rsid w:val="00D74160"/>
    <w:rsid w:val="00D74A11"/>
    <w:rsid w:val="00D74BA0"/>
    <w:rsid w:val="00D752ED"/>
    <w:rsid w:val="00D75D4F"/>
    <w:rsid w:val="00D76B45"/>
    <w:rsid w:val="00D76EB7"/>
    <w:rsid w:val="00D8255D"/>
    <w:rsid w:val="00D82E8B"/>
    <w:rsid w:val="00D85FB8"/>
    <w:rsid w:val="00D869B8"/>
    <w:rsid w:val="00D86E5A"/>
    <w:rsid w:val="00D905C5"/>
    <w:rsid w:val="00D9128B"/>
    <w:rsid w:val="00D93749"/>
    <w:rsid w:val="00D94F1A"/>
    <w:rsid w:val="00D95CBD"/>
    <w:rsid w:val="00DA16D3"/>
    <w:rsid w:val="00DA1D0E"/>
    <w:rsid w:val="00DA2B45"/>
    <w:rsid w:val="00DA31CF"/>
    <w:rsid w:val="00DA39A8"/>
    <w:rsid w:val="00DA45DE"/>
    <w:rsid w:val="00DB1CD5"/>
    <w:rsid w:val="00DB56F1"/>
    <w:rsid w:val="00DB6828"/>
    <w:rsid w:val="00DB6A44"/>
    <w:rsid w:val="00DC031E"/>
    <w:rsid w:val="00DC0AA3"/>
    <w:rsid w:val="00DC2000"/>
    <w:rsid w:val="00DC77EC"/>
    <w:rsid w:val="00DD0349"/>
    <w:rsid w:val="00DD0353"/>
    <w:rsid w:val="00DD311D"/>
    <w:rsid w:val="00DD5D1B"/>
    <w:rsid w:val="00DD6A34"/>
    <w:rsid w:val="00DD7788"/>
    <w:rsid w:val="00DE0299"/>
    <w:rsid w:val="00DE24C6"/>
    <w:rsid w:val="00DE2FB2"/>
    <w:rsid w:val="00DE3507"/>
    <w:rsid w:val="00DE40A7"/>
    <w:rsid w:val="00DE51CC"/>
    <w:rsid w:val="00DE76D8"/>
    <w:rsid w:val="00DF00C0"/>
    <w:rsid w:val="00DF0F1D"/>
    <w:rsid w:val="00DF469E"/>
    <w:rsid w:val="00DF55E4"/>
    <w:rsid w:val="00DF6B0B"/>
    <w:rsid w:val="00E023A8"/>
    <w:rsid w:val="00E04812"/>
    <w:rsid w:val="00E06A3B"/>
    <w:rsid w:val="00E06FFD"/>
    <w:rsid w:val="00E1154E"/>
    <w:rsid w:val="00E14049"/>
    <w:rsid w:val="00E1465E"/>
    <w:rsid w:val="00E23294"/>
    <w:rsid w:val="00E24742"/>
    <w:rsid w:val="00E247FE"/>
    <w:rsid w:val="00E27F50"/>
    <w:rsid w:val="00E30743"/>
    <w:rsid w:val="00E31950"/>
    <w:rsid w:val="00E33319"/>
    <w:rsid w:val="00E3765A"/>
    <w:rsid w:val="00E40E80"/>
    <w:rsid w:val="00E41291"/>
    <w:rsid w:val="00E41883"/>
    <w:rsid w:val="00E43A4E"/>
    <w:rsid w:val="00E45D99"/>
    <w:rsid w:val="00E461FA"/>
    <w:rsid w:val="00E46C05"/>
    <w:rsid w:val="00E47E91"/>
    <w:rsid w:val="00E47F08"/>
    <w:rsid w:val="00E55677"/>
    <w:rsid w:val="00E55982"/>
    <w:rsid w:val="00E56817"/>
    <w:rsid w:val="00E5720E"/>
    <w:rsid w:val="00E600FF"/>
    <w:rsid w:val="00E60978"/>
    <w:rsid w:val="00E60FD7"/>
    <w:rsid w:val="00E64056"/>
    <w:rsid w:val="00E65853"/>
    <w:rsid w:val="00E6615F"/>
    <w:rsid w:val="00E66ED0"/>
    <w:rsid w:val="00E6715F"/>
    <w:rsid w:val="00E67696"/>
    <w:rsid w:val="00E67AEA"/>
    <w:rsid w:val="00E7047D"/>
    <w:rsid w:val="00E70774"/>
    <w:rsid w:val="00E72822"/>
    <w:rsid w:val="00E734E4"/>
    <w:rsid w:val="00E74802"/>
    <w:rsid w:val="00E8085A"/>
    <w:rsid w:val="00E82731"/>
    <w:rsid w:val="00E82F61"/>
    <w:rsid w:val="00E8407E"/>
    <w:rsid w:val="00E85412"/>
    <w:rsid w:val="00E86680"/>
    <w:rsid w:val="00E900DE"/>
    <w:rsid w:val="00E90944"/>
    <w:rsid w:val="00E916F9"/>
    <w:rsid w:val="00E93CC8"/>
    <w:rsid w:val="00E94A9F"/>
    <w:rsid w:val="00E96B49"/>
    <w:rsid w:val="00E96D97"/>
    <w:rsid w:val="00E9745A"/>
    <w:rsid w:val="00E97817"/>
    <w:rsid w:val="00EA1A1D"/>
    <w:rsid w:val="00EA3727"/>
    <w:rsid w:val="00EA4C6C"/>
    <w:rsid w:val="00EA71C1"/>
    <w:rsid w:val="00EA79B3"/>
    <w:rsid w:val="00EB114F"/>
    <w:rsid w:val="00EB11A9"/>
    <w:rsid w:val="00EB193A"/>
    <w:rsid w:val="00EB25A0"/>
    <w:rsid w:val="00EB2D03"/>
    <w:rsid w:val="00EB4A39"/>
    <w:rsid w:val="00EB55AD"/>
    <w:rsid w:val="00EC0786"/>
    <w:rsid w:val="00EC2F7D"/>
    <w:rsid w:val="00EC487C"/>
    <w:rsid w:val="00EC5A92"/>
    <w:rsid w:val="00EC6F37"/>
    <w:rsid w:val="00EC78B9"/>
    <w:rsid w:val="00ED1B48"/>
    <w:rsid w:val="00ED1F9B"/>
    <w:rsid w:val="00ED35B3"/>
    <w:rsid w:val="00ED3868"/>
    <w:rsid w:val="00ED38AF"/>
    <w:rsid w:val="00ED3EC1"/>
    <w:rsid w:val="00ED5D4F"/>
    <w:rsid w:val="00ED61CB"/>
    <w:rsid w:val="00EE0AB3"/>
    <w:rsid w:val="00EE1497"/>
    <w:rsid w:val="00EE15CE"/>
    <w:rsid w:val="00EE28A9"/>
    <w:rsid w:val="00EE2EEE"/>
    <w:rsid w:val="00EE35AA"/>
    <w:rsid w:val="00EE4772"/>
    <w:rsid w:val="00EE77EA"/>
    <w:rsid w:val="00EF0FBE"/>
    <w:rsid w:val="00EF1197"/>
    <w:rsid w:val="00EF1F5F"/>
    <w:rsid w:val="00EF27C0"/>
    <w:rsid w:val="00EF77ED"/>
    <w:rsid w:val="00EF7BD2"/>
    <w:rsid w:val="00F0258A"/>
    <w:rsid w:val="00F02B07"/>
    <w:rsid w:val="00F05175"/>
    <w:rsid w:val="00F056C6"/>
    <w:rsid w:val="00F07990"/>
    <w:rsid w:val="00F07E4E"/>
    <w:rsid w:val="00F10D49"/>
    <w:rsid w:val="00F10E9B"/>
    <w:rsid w:val="00F1153A"/>
    <w:rsid w:val="00F12640"/>
    <w:rsid w:val="00F13192"/>
    <w:rsid w:val="00F14923"/>
    <w:rsid w:val="00F15800"/>
    <w:rsid w:val="00F20A45"/>
    <w:rsid w:val="00F23207"/>
    <w:rsid w:val="00F24573"/>
    <w:rsid w:val="00F255FD"/>
    <w:rsid w:val="00F27A3E"/>
    <w:rsid w:val="00F323FB"/>
    <w:rsid w:val="00F33B36"/>
    <w:rsid w:val="00F36FCA"/>
    <w:rsid w:val="00F37291"/>
    <w:rsid w:val="00F404C2"/>
    <w:rsid w:val="00F439A0"/>
    <w:rsid w:val="00F43D02"/>
    <w:rsid w:val="00F45971"/>
    <w:rsid w:val="00F46917"/>
    <w:rsid w:val="00F520AF"/>
    <w:rsid w:val="00F531F2"/>
    <w:rsid w:val="00F53445"/>
    <w:rsid w:val="00F604BD"/>
    <w:rsid w:val="00F62160"/>
    <w:rsid w:val="00F62669"/>
    <w:rsid w:val="00F677E5"/>
    <w:rsid w:val="00F71546"/>
    <w:rsid w:val="00F726C9"/>
    <w:rsid w:val="00F72803"/>
    <w:rsid w:val="00F748D7"/>
    <w:rsid w:val="00F74C57"/>
    <w:rsid w:val="00F756F4"/>
    <w:rsid w:val="00F7597D"/>
    <w:rsid w:val="00F81CBB"/>
    <w:rsid w:val="00F81D13"/>
    <w:rsid w:val="00F8242B"/>
    <w:rsid w:val="00F83391"/>
    <w:rsid w:val="00F84AE1"/>
    <w:rsid w:val="00F85597"/>
    <w:rsid w:val="00F85A62"/>
    <w:rsid w:val="00F87C88"/>
    <w:rsid w:val="00F90D9F"/>
    <w:rsid w:val="00F96BE8"/>
    <w:rsid w:val="00F973EB"/>
    <w:rsid w:val="00F97AAA"/>
    <w:rsid w:val="00F97B30"/>
    <w:rsid w:val="00FA1720"/>
    <w:rsid w:val="00FA2839"/>
    <w:rsid w:val="00FA4470"/>
    <w:rsid w:val="00FA5B0B"/>
    <w:rsid w:val="00FB1F5A"/>
    <w:rsid w:val="00FB36C0"/>
    <w:rsid w:val="00FB3731"/>
    <w:rsid w:val="00FB4033"/>
    <w:rsid w:val="00FB4F53"/>
    <w:rsid w:val="00FB573C"/>
    <w:rsid w:val="00FB6FFA"/>
    <w:rsid w:val="00FC23E8"/>
    <w:rsid w:val="00FC351C"/>
    <w:rsid w:val="00FC4792"/>
    <w:rsid w:val="00FC5DE4"/>
    <w:rsid w:val="00FC6C06"/>
    <w:rsid w:val="00FC72C4"/>
    <w:rsid w:val="00FD02A0"/>
    <w:rsid w:val="00FD12BE"/>
    <w:rsid w:val="00FD4FA2"/>
    <w:rsid w:val="00FD5497"/>
    <w:rsid w:val="00FD7072"/>
    <w:rsid w:val="00FD71E3"/>
    <w:rsid w:val="00FE1002"/>
    <w:rsid w:val="00FE1261"/>
    <w:rsid w:val="00FE1DF7"/>
    <w:rsid w:val="00FE2B67"/>
    <w:rsid w:val="00FE3092"/>
    <w:rsid w:val="00FE33C9"/>
    <w:rsid w:val="00FE5C4C"/>
    <w:rsid w:val="00FE6E49"/>
    <w:rsid w:val="00FF02F2"/>
    <w:rsid w:val="00FF1D09"/>
    <w:rsid w:val="00FF2513"/>
    <w:rsid w:val="00FF2EEF"/>
    <w:rsid w:val="00FF3A15"/>
    <w:rsid w:val="00FF3EF9"/>
    <w:rsid w:val="00FF400D"/>
    <w:rsid w:val="00FF48C5"/>
    <w:rsid w:val="00FF6D7D"/>
    <w:rsid w:val="1BA81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页眉 Char"/>
    <w:basedOn w:val="7"/>
    <w:link w:val="4"/>
    <w:locked/>
    <w:uiPriority w:val="99"/>
    <w:rPr>
      <w:rFonts w:ascii="Calibri" w:hAnsi="Calibri" w:eastAsia="宋体" w:cs="Times New Roman"/>
      <w:kern w:val="0"/>
      <w:sz w:val="18"/>
      <w:szCs w:val="18"/>
    </w:rPr>
  </w:style>
  <w:style w:type="character" w:customStyle="1" w:styleId="10">
    <w:name w:val="页脚 Char"/>
    <w:basedOn w:val="7"/>
    <w:link w:val="3"/>
    <w:locked/>
    <w:uiPriority w:val="99"/>
    <w:rPr>
      <w:rFonts w:ascii="Calibri" w:hAnsi="Calibri" w:eastAsia="宋体" w:cs="Times New Roman"/>
      <w:kern w:val="0"/>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5232</Words>
  <Characters>5945</Characters>
  <Lines>54</Lines>
  <Paragraphs>15</Paragraphs>
  <TotalTime>9</TotalTime>
  <ScaleCrop>false</ScaleCrop>
  <LinksUpToDate>false</LinksUpToDate>
  <CharactersWithSpaces>5977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2021-11-19T04:32:00Z</dcterms:created>
  <dc:creator>微软用户</dc:creator>
  <cp:lastModifiedBy>Administrator</cp:lastModifiedBy>
  <cp:lastPrinted>2019-10-21T06:21:00Z</cp:lastPrinted>
  <dcterms:modified xsi:type="dcterms:W3CDTF">2024-12-26T08:06:16Z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01CEE5C2DD5745AFB01F88AFD4C8FCEB_12</vt:lpwstr>
  </property>
</Properties>
</file>