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579"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重庆市南岸区人民政府花园路街道办事处2020年度部门决算情况说明</w:t>
      </w:r>
    </w:p>
    <w:p>
      <w:pPr>
        <w:pStyle w:val="6"/>
        <w:shd w:val="clear" w:color="auto" w:fill="FFFFFF"/>
        <w:spacing w:before="0" w:beforeAutospacing="0" w:after="0" w:afterAutospacing="0" w:line="579" w:lineRule="exact"/>
        <w:ind w:firstLine="880" w:firstLineChars="200"/>
        <w:jc w:val="both"/>
        <w:rPr>
          <w:rFonts w:ascii="Times New Roman" w:hAnsi="Times New Roman" w:eastAsia="方正小标宋_GBK" w:cs="Times New Roman"/>
          <w:sz w:val="44"/>
          <w:szCs w:val="44"/>
        </w:rPr>
      </w:pPr>
    </w:p>
    <w:p>
      <w:pPr>
        <w:pStyle w:val="6"/>
        <w:shd w:val="clear" w:color="auto" w:fill="FFFFFF"/>
        <w:spacing w:before="0" w:beforeAutospacing="0" w:after="0" w:afterAutospacing="0" w:line="579" w:lineRule="exact"/>
        <w:ind w:firstLine="640" w:firstLineChars="200"/>
        <w:jc w:val="both"/>
        <w:rPr>
          <w:rStyle w:val="9"/>
          <w:rFonts w:ascii="方正黑体_GBK" w:hAnsi="方正黑体_GBK" w:eastAsia="方正黑体_GBK" w:cs="方正黑体_GBK"/>
          <w:b w:val="0"/>
          <w:sz w:val="32"/>
          <w:szCs w:val="32"/>
        </w:rPr>
      </w:pPr>
      <w:r>
        <w:rPr>
          <w:rStyle w:val="9"/>
          <w:rFonts w:hint="eastAsia" w:ascii="方正黑体_GBK" w:hAnsi="方正黑体_GBK" w:eastAsia="方正黑体_GBK" w:cs="方正黑体_GBK"/>
          <w:b w:val="0"/>
          <w:sz w:val="32"/>
          <w:szCs w:val="32"/>
        </w:rPr>
        <w:t>一、部门基本情况</w:t>
      </w:r>
    </w:p>
    <w:p>
      <w:pPr>
        <w:spacing w:line="579"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 xml:space="preserve">  （一）职能职责</w:t>
      </w:r>
    </w:p>
    <w:p>
      <w:pPr>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1.全面贯彻党的路线、方针、政策，执行上级国家行政机关的决定和命令，按照职责权限依法制定行政措施。</w:t>
      </w:r>
    </w:p>
    <w:p>
      <w:pPr>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2.编报和执行本辖区内国民经济和社会发展计划，并做好统计工作；负责本辖区经济发展管理工作，繁荣区域经济。根据政府授权组织实施辖区内经济社会发展项目。 </w:t>
      </w:r>
    </w:p>
    <w:p>
      <w:pPr>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3.负责本辖区科学、教育、文化、卫生、体育、计划生育、环境和资源保护、安全、生产劳动和社会保障、民政、政府法制等行政工作。</w:t>
      </w:r>
    </w:p>
    <w:p>
      <w:pPr>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4.负责本辖区精神文明建设工作，组织开展创建文明城市、文明社区、文明单位、居民自治模范社区、群众性文化体育等活动，组织开展民主法制教育和社会公德教育，提高全民素质。</w:t>
      </w:r>
    </w:p>
    <w:p>
      <w:pPr>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5.配合区政府有关部门做好城市管理工作。负责管理大街小巷和居民区的清洁、绿化、亮化工作；组织开展爱国卫生活动；协助政府有关部门做好城市规划、建设管理和国土资源管理工作。</w:t>
      </w:r>
    </w:p>
    <w:p>
      <w:pPr>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6.负责本辖区社区建设、管理、服务工作。指导居委会开展工作，反映社区居民的意见和要求，处理人民来信来访；按属地管理原则，制订本辖区社会治安综合治理规划并组织实施人民调解、治安保卫工作，维护社会秩序和社会稳定；举办便民、利民的社区公共事务和公共福利事业，负责社区公共服务设施、公共服务机构建设，负责优抚安置、救灾救济、拥军优属、殡葬改革、老龄事业及维护残疾人合法权益等工作。</w:t>
      </w:r>
    </w:p>
    <w:p>
      <w:pPr>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7.保护辖区内全民所有的财产和集体所有的财产安全，保护公民私人所有的合法财产，保障公民的人身权利、民主权利和其它合法权利；保证各种经济组织合法权益。 </w:t>
      </w:r>
    </w:p>
    <w:p>
      <w:pPr>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8.保障宪法和法律赋予妇女的男女平等、同工同酬和婚姻自由等各项权利。</w:t>
      </w:r>
    </w:p>
    <w:p>
      <w:pPr>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9.对政府主管审批的事项提出审核意见。</w:t>
      </w:r>
    </w:p>
    <w:p>
      <w:pPr>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10.领导所属工作部门的工作；改变或者撤消所属工作部门不适当的决定。</w:t>
      </w:r>
    </w:p>
    <w:p>
      <w:pPr>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11.依照法律的规定和干部管理权限任免、培训、考核和奖惩本辖区干部、工作人员。</w:t>
      </w:r>
    </w:p>
    <w:p>
      <w:pPr>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12.办理区委、区政府交办的其他工作事项。</w:t>
      </w:r>
    </w:p>
    <w:p>
      <w:pPr>
        <w:widowControl w:val="0"/>
        <w:spacing w:line="579"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pPr>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南岸区人民政府花园路街道办事处是负责辖区内地区性、社会性、群众性工作的区派出机构。内设9个职能科室：党政办公室、党建工作办公室、经济发展办公室、民政和社会事务办公室、平安建设办公室、规划建设管理环保办公室、财政办公室、应急管理办公室、综合行政执法办公室，</w:t>
      </w:r>
      <w:r>
        <w:rPr>
          <w:rFonts w:hint="eastAsia" w:ascii="Times New Roman" w:hAnsi="Times New Roman" w:eastAsia="方正仿宋_GBK" w:cs="Times New Roman"/>
          <w:sz w:val="32"/>
          <w:szCs w:val="32"/>
        </w:rPr>
        <w:t>一个参公事业单位：城管执法支队，</w:t>
      </w:r>
      <w:r>
        <w:rPr>
          <w:rFonts w:ascii="Times New Roman" w:hAnsi="Times New Roman" w:eastAsia="方正仿宋_GBK" w:cs="Times New Roman"/>
          <w:sz w:val="32"/>
          <w:szCs w:val="32"/>
        </w:rPr>
        <w:t>六个隶属事业单位：社区事务服务中心、社区文化服务中心、劳动就业和社会保障服务所、退役军人服务站、综合行政执法大队、物业管理服务中心。街道辖区共设11 个社区居委会。行政编制人数24人(含司法专项编制2人)，参公编制人数25人、事业编制人数23人。实有人数行政人员20人，参公人员25人、事业人员19人，退休人员18人。</w:t>
      </w:r>
    </w:p>
    <w:p>
      <w:pPr>
        <w:pStyle w:val="6"/>
        <w:shd w:val="clear" w:color="auto" w:fill="FFFFFF"/>
        <w:spacing w:before="0" w:beforeAutospacing="0" w:after="0" w:afterAutospacing="0" w:line="579" w:lineRule="exact"/>
        <w:ind w:firstLine="640" w:firstLineChars="200"/>
        <w:jc w:val="both"/>
        <w:outlineLvl w:val="1"/>
        <w:rPr>
          <w:rFonts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（三）单位构成</w:t>
      </w:r>
    </w:p>
    <w:p>
      <w:pPr>
        <w:pStyle w:val="6"/>
        <w:shd w:val="clear" w:color="auto" w:fill="FFFFFF"/>
        <w:spacing w:before="0" w:beforeAutospacing="0" w:after="0" w:afterAutospacing="0" w:line="579" w:lineRule="exact"/>
        <w:ind w:firstLine="640" w:firstLineChars="200"/>
        <w:jc w:val="both"/>
        <w:outlineLvl w:val="1"/>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本单位无下级预算单位。</w:t>
      </w:r>
    </w:p>
    <w:p>
      <w:pPr>
        <w:pStyle w:val="6"/>
        <w:shd w:val="clear" w:color="auto" w:fill="FFFFFF"/>
        <w:spacing w:before="0" w:beforeAutospacing="0" w:after="0" w:afterAutospacing="0" w:line="579" w:lineRule="exact"/>
        <w:ind w:firstLine="640" w:firstLineChars="200"/>
        <w:jc w:val="both"/>
        <w:outlineLvl w:val="0"/>
        <w:rPr>
          <w:rStyle w:val="9"/>
          <w:rFonts w:ascii="方正黑体_GBK" w:hAnsi="方正黑体_GBK" w:eastAsia="方正黑体_GBK" w:cs="方正黑体_GBK"/>
          <w:b w:val="0"/>
          <w:sz w:val="32"/>
          <w:szCs w:val="32"/>
        </w:rPr>
      </w:pPr>
      <w:r>
        <w:rPr>
          <w:rStyle w:val="9"/>
          <w:rFonts w:hint="eastAsia" w:ascii="方正黑体_GBK" w:hAnsi="方正黑体_GBK" w:eastAsia="方正黑体_GBK" w:cs="方正黑体_GBK"/>
          <w:b w:val="0"/>
          <w:sz w:val="32"/>
          <w:szCs w:val="32"/>
        </w:rPr>
        <w:t>二、部门决算情况说明</w:t>
      </w:r>
    </w:p>
    <w:p>
      <w:pPr>
        <w:widowControl w:val="0"/>
        <w:spacing w:line="579"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pPr>
        <w:pStyle w:val="6"/>
        <w:shd w:val="clear" w:color="auto" w:fill="FFFFFF"/>
        <w:spacing w:before="0" w:beforeAutospacing="0" w:after="0" w:afterAutospacing="0" w:line="579" w:lineRule="exact"/>
        <w:ind w:firstLine="643" w:firstLineChars="200"/>
        <w:jc w:val="both"/>
        <w:rPr>
          <w:rFonts w:ascii="Times New Roman" w:hAnsi="Times New Roman" w:eastAsia="楷体" w:cs="Times New Roman"/>
          <w:b/>
          <w:sz w:val="32"/>
          <w:szCs w:val="32"/>
        </w:rPr>
      </w:pPr>
      <w:r>
        <w:rPr>
          <w:rFonts w:ascii="Times New Roman" w:hAnsi="Times New Roman" w:eastAsia="楷体" w:cs="Times New Roman"/>
          <w:b/>
          <w:sz w:val="32"/>
          <w:szCs w:val="32"/>
        </w:rPr>
        <w:t>1.总体情况</w:t>
      </w:r>
    </w:p>
    <w:p>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度收入总计7635.53万元，收入较上年决算数增加426.14万元，增长5.9%，主要原因是年中追加综合整治老旧小区283.14万元、抗疫特别国债143万元。支出总计7635.53万元，支出较上年决算数增加426.14万元，增长5.9%，主要原因是年中追加综合整治老旧小区283.14万元、抗疫特别国债143万元。</w:t>
      </w:r>
    </w:p>
    <w:p>
      <w:pPr>
        <w:pStyle w:val="6"/>
        <w:shd w:val="clear" w:color="auto" w:fill="FFFFFF"/>
        <w:spacing w:before="0" w:beforeAutospacing="0" w:after="0" w:afterAutospacing="0" w:line="579" w:lineRule="exact"/>
        <w:ind w:firstLine="643" w:firstLineChars="200"/>
        <w:jc w:val="both"/>
        <w:rPr>
          <w:rFonts w:ascii="Times New Roman" w:hAnsi="Times New Roman" w:eastAsia="楷体" w:cs="Times New Roman"/>
          <w:b/>
          <w:sz w:val="32"/>
          <w:szCs w:val="32"/>
        </w:rPr>
      </w:pPr>
      <w:r>
        <w:rPr>
          <w:rFonts w:ascii="Times New Roman" w:hAnsi="Times New Roman" w:eastAsia="楷体" w:cs="Times New Roman"/>
          <w:b/>
          <w:sz w:val="32"/>
          <w:szCs w:val="32"/>
        </w:rPr>
        <w:t>2.收入情况</w:t>
      </w:r>
    </w:p>
    <w:p>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2020年度收入合计7572.25万元，较上年决算数增加382.95万元，增长5.3%，主要原因是年中追加综合整治老旧小区239.95万元、抗疫特别国债143万元。其中：财政拨款收入7572.25万元，占100%。此外，年初结转和结余63.28万元。</w:t>
      </w:r>
    </w:p>
    <w:p>
      <w:pPr>
        <w:pStyle w:val="6"/>
        <w:shd w:val="clear" w:color="auto" w:fill="FFFFFF"/>
        <w:spacing w:before="0" w:beforeAutospacing="0" w:after="0" w:afterAutospacing="0" w:line="579" w:lineRule="exact"/>
        <w:ind w:firstLine="643" w:firstLineChars="200"/>
        <w:jc w:val="both"/>
        <w:rPr>
          <w:rFonts w:ascii="Times New Roman" w:hAnsi="Times New Roman" w:eastAsia="楷体" w:cs="Times New Roman"/>
          <w:b/>
          <w:sz w:val="32"/>
          <w:szCs w:val="32"/>
        </w:rPr>
      </w:pPr>
      <w:r>
        <w:rPr>
          <w:rFonts w:ascii="Times New Roman" w:hAnsi="Times New Roman" w:eastAsia="楷体" w:cs="Times New Roman"/>
          <w:b/>
          <w:sz w:val="32"/>
          <w:szCs w:val="32"/>
        </w:rPr>
        <w:t>3.支出情况</w:t>
      </w:r>
    </w:p>
    <w:p>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2020年度支出合计7576.62万元，较上年决算数增加388.63万元，增长5.4%，主要原因是年中追加综合整治老旧小区245.63万元、抗疫特别国债143万元。其中：基本支出1520.18万元，占20.1%；项目支出6056.44万元，占79.9%。</w:t>
      </w:r>
    </w:p>
    <w:p>
      <w:pPr>
        <w:pStyle w:val="6"/>
        <w:shd w:val="clear" w:color="auto" w:fill="FFFFFF"/>
        <w:spacing w:before="0" w:beforeAutospacing="0" w:after="0" w:afterAutospacing="0" w:line="579" w:lineRule="exact"/>
        <w:ind w:firstLine="643" w:firstLineChars="200"/>
        <w:jc w:val="both"/>
        <w:rPr>
          <w:rFonts w:ascii="Times New Roman" w:hAnsi="Times New Roman" w:eastAsia="楷体" w:cs="Times New Roman"/>
          <w:b/>
          <w:sz w:val="32"/>
          <w:szCs w:val="32"/>
        </w:rPr>
      </w:pPr>
      <w:r>
        <w:rPr>
          <w:rFonts w:ascii="Times New Roman" w:hAnsi="Times New Roman" w:eastAsia="楷体" w:cs="Times New Roman"/>
          <w:b/>
          <w:sz w:val="32"/>
          <w:szCs w:val="32"/>
        </w:rPr>
        <w:t>4.结转结余情况</w:t>
      </w:r>
    </w:p>
    <w:p>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度年末结转和结余58.91万元，较上年决算数增加37.51万元，增加175.3%，主要原因是2019年结转社会化退休管理214037.66元，2020年已经支付，2020年结转为军代室建设143775元、老旧小区汇洋大厦整治415368.33元、社会工作服务项目资金30000元。2020结余项目按照合同进度，2021年完成支付。</w:t>
      </w:r>
    </w:p>
    <w:p>
      <w:pPr>
        <w:pStyle w:val="6"/>
        <w:shd w:val="clear" w:color="auto" w:fill="FFFFFF"/>
        <w:spacing w:before="0" w:beforeAutospacing="0" w:after="0" w:afterAutospacing="0" w:line="579" w:lineRule="exact"/>
        <w:ind w:firstLine="640" w:firstLineChars="200"/>
        <w:jc w:val="both"/>
        <w:outlineLvl w:val="0"/>
        <w:rPr>
          <w:rStyle w:val="9"/>
          <w:rFonts w:ascii="方正楷体_GBK" w:hAnsi="方正楷体_GBK" w:eastAsia="方正楷体_GBK" w:cs="方正楷体_GBK"/>
          <w:b w:val="0"/>
          <w:bCs w:val="0"/>
          <w:sz w:val="32"/>
          <w:szCs w:val="32"/>
        </w:rPr>
      </w:pPr>
      <w:r>
        <w:rPr>
          <w:rStyle w:val="9"/>
          <w:rFonts w:hint="eastAsia" w:ascii="方正楷体_GBK" w:hAnsi="方正楷体_GBK" w:eastAsia="方正楷体_GBK" w:cs="方正楷体_GBK"/>
          <w:b w:val="0"/>
          <w:bCs w:val="0"/>
          <w:sz w:val="32"/>
          <w:szCs w:val="32"/>
        </w:rPr>
        <w:t>（二）财政拨款收入支出决算总体情况说明</w:t>
      </w:r>
    </w:p>
    <w:p>
      <w:pPr>
        <w:pStyle w:val="6"/>
        <w:shd w:val="clear" w:color="auto" w:fill="FFFFFF"/>
        <w:spacing w:before="0" w:beforeAutospacing="0" w:after="0" w:afterAutospacing="0" w:line="579" w:lineRule="exact"/>
        <w:ind w:firstLine="640" w:firstLineChars="200"/>
        <w:jc w:val="both"/>
        <w:rPr>
          <w:rFonts w:hint="eastAsia" w:ascii="Times New Roman" w:hAnsi="Times New Roman" w:eastAsia="方正仿宋_GBK" w:cs="Times New Roman"/>
          <w:bCs/>
          <w:sz w:val="32"/>
          <w:szCs w:val="32"/>
        </w:rPr>
      </w:pPr>
      <w:r>
        <w:rPr>
          <w:rFonts w:ascii="Times New Roman" w:hAnsi="Times New Roman" w:eastAsia="方正仿宋_GBK" w:cs="Times New Roman"/>
          <w:bCs/>
          <w:sz w:val="32"/>
          <w:szCs w:val="32"/>
        </w:rPr>
        <w:t>2020年度财政拨款收入总计7635.53万元。与2019年相比，财政拨款收入总计增加426.14万元，增长 5.9%。主要原因是年中追加综合整治老旧小区283.14万元、抗疫特别国债143万元。2020年度财政拨款支出总计7635.53万元。与2019年相比，财政拨款支出总计增加426.14万元，增长 5.9%。主要原因是年中追加综合整治老旧小区283.14万元、抗疫特别国债143万元</w:t>
      </w:r>
      <w:r>
        <w:rPr>
          <w:rFonts w:hint="eastAsia" w:ascii="Times New Roman" w:hAnsi="Times New Roman" w:eastAsia="方正仿宋_GBK" w:cs="Times New Roman"/>
          <w:bCs/>
          <w:sz w:val="32"/>
          <w:szCs w:val="32"/>
        </w:rPr>
        <w:t>。</w:t>
      </w:r>
    </w:p>
    <w:p>
      <w:pPr>
        <w:pStyle w:val="6"/>
        <w:shd w:val="clear" w:color="auto" w:fill="FFFFFF"/>
        <w:spacing w:before="0" w:beforeAutospacing="0" w:after="0" w:afterAutospacing="0" w:line="579" w:lineRule="exact"/>
        <w:ind w:firstLine="640" w:firstLineChars="200"/>
        <w:jc w:val="both"/>
        <w:outlineLvl w:val="0"/>
        <w:rPr>
          <w:rStyle w:val="9"/>
          <w:rFonts w:ascii="方正楷体_GBK" w:hAnsi="方正楷体_GBK" w:eastAsia="方正楷体_GBK" w:cs="方正楷体_GBK"/>
          <w:b w:val="0"/>
          <w:bCs w:val="0"/>
          <w:sz w:val="32"/>
          <w:szCs w:val="32"/>
        </w:rPr>
      </w:pPr>
      <w:r>
        <w:rPr>
          <w:rStyle w:val="9"/>
          <w:rFonts w:hint="eastAsia" w:ascii="方正楷体_GBK" w:hAnsi="方正楷体_GBK" w:eastAsia="方正楷体_GBK" w:cs="方正楷体_GBK"/>
          <w:b w:val="0"/>
          <w:bCs w:val="0"/>
          <w:sz w:val="32"/>
          <w:szCs w:val="32"/>
        </w:rPr>
        <w:t>（三）一般公共预算财政拨款支出决算情况说明</w:t>
      </w:r>
    </w:p>
    <w:p>
      <w:pPr>
        <w:pStyle w:val="6"/>
        <w:shd w:val="clear" w:color="auto" w:fill="FFFFFF"/>
        <w:spacing w:before="0" w:beforeAutospacing="0" w:after="0" w:afterAutospacing="0" w:line="579" w:lineRule="exact"/>
        <w:ind w:firstLine="643" w:firstLineChars="200"/>
        <w:jc w:val="both"/>
        <w:rPr>
          <w:rFonts w:ascii="Times New Roman" w:hAnsi="Times New Roman" w:eastAsia="楷体" w:cs="Times New Roman"/>
          <w:b/>
          <w:sz w:val="32"/>
          <w:szCs w:val="32"/>
        </w:rPr>
      </w:pPr>
      <w:r>
        <w:rPr>
          <w:rFonts w:ascii="Times New Roman" w:hAnsi="Times New Roman" w:eastAsia="楷体" w:cs="Times New Roman"/>
          <w:b/>
          <w:sz w:val="32"/>
          <w:szCs w:val="32"/>
        </w:rPr>
        <w:t>1.收入情况</w:t>
      </w:r>
    </w:p>
    <w:p>
      <w:pPr>
        <w:pStyle w:val="6"/>
        <w:shd w:val="clear" w:color="auto" w:fill="FFFFFF"/>
        <w:spacing w:before="0" w:beforeAutospacing="0" w:after="0" w:afterAutospacing="0" w:line="579" w:lineRule="exact"/>
        <w:ind w:firstLine="640" w:firstLineChars="200"/>
        <w:jc w:val="both"/>
        <w:rPr>
          <w:rFonts w:ascii="Times New Roman" w:hAnsi="Times New Roman" w:cs="Times New Roman"/>
          <w:sz w:val="32"/>
          <w:szCs w:val="32"/>
        </w:rPr>
      </w:pPr>
      <w:r>
        <w:rPr>
          <w:rFonts w:ascii="Times New Roman" w:hAnsi="Times New Roman" w:eastAsia="方正仿宋_GBK" w:cs="Times New Roman"/>
          <w:sz w:val="32"/>
          <w:szCs w:val="32"/>
        </w:rPr>
        <w:t>2020年度一般公共预算财政拨款收入7084.71万元，较上年决算数增加21.09万元，增长0.3%。主要原因是年中追加综合整治老旧小区21.09万元。较年初预算数增加1043.23万元，增长17.3%。主要原因追加综合整治老旧小区378万元。追加市属国有企业退休人员社会化管理资金324.69万元。追加灾后重建资金79万元。追加垃圾分类经费82万元。追加社区建设经费81.07万元。追加党建、文化服务体系、新冠肺炎疫情专项经费等98.47万元。此外，年初财政拨款结转和结余63.29万元。</w:t>
      </w:r>
    </w:p>
    <w:p>
      <w:pPr>
        <w:pStyle w:val="6"/>
        <w:shd w:val="clear" w:color="auto" w:fill="FFFFFF"/>
        <w:spacing w:before="0" w:beforeAutospacing="0" w:after="0" w:afterAutospacing="0" w:line="579" w:lineRule="exact"/>
        <w:ind w:firstLine="643" w:firstLineChars="200"/>
        <w:jc w:val="both"/>
        <w:rPr>
          <w:rFonts w:ascii="Times New Roman" w:hAnsi="Times New Roman" w:eastAsia="楷体" w:cs="Times New Roman"/>
          <w:b/>
          <w:sz w:val="32"/>
          <w:szCs w:val="32"/>
        </w:rPr>
      </w:pPr>
      <w:r>
        <w:rPr>
          <w:rFonts w:ascii="Times New Roman" w:hAnsi="Times New Roman" w:eastAsia="楷体" w:cs="Times New Roman"/>
          <w:b/>
          <w:sz w:val="32"/>
          <w:szCs w:val="32"/>
        </w:rPr>
        <w:t>2.支出情况</w:t>
      </w:r>
    </w:p>
    <w:p>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度一般公共预算财政拨款支出7092.08万元，较上年决算数增加29.78万元，增长0.4%。主要原因是年中追加综合整治老旧小区29.78万元。较年初预算数增加1050.6万元，增长17.4%。主要原因追加综合整治老旧小区378万元。追加市属国有企业退休人员社会化管理资金324.69万元。追加灾后重建资金79万元。追加垃圾分类经费82万元。追加社区建设经费81.07万元。追加党建、文化服务体系、新冠肺炎疫情专项经费等105.84万元。</w:t>
      </w:r>
    </w:p>
    <w:p>
      <w:pPr>
        <w:pStyle w:val="6"/>
        <w:shd w:val="clear" w:color="auto" w:fill="FFFFFF"/>
        <w:spacing w:before="0" w:beforeAutospacing="0" w:after="0" w:afterAutospacing="0" w:line="579" w:lineRule="exact"/>
        <w:ind w:firstLine="643" w:firstLineChars="200"/>
        <w:jc w:val="both"/>
        <w:rPr>
          <w:rFonts w:ascii="Times New Roman" w:hAnsi="Times New Roman" w:eastAsia="楷体" w:cs="Times New Roman"/>
          <w:b/>
          <w:sz w:val="32"/>
          <w:szCs w:val="32"/>
        </w:rPr>
      </w:pPr>
      <w:r>
        <w:rPr>
          <w:rFonts w:ascii="Times New Roman" w:hAnsi="Times New Roman" w:eastAsia="楷体" w:cs="Times New Roman"/>
          <w:b/>
          <w:sz w:val="32"/>
          <w:szCs w:val="32"/>
        </w:rPr>
        <w:t>3.结转结余情况</w:t>
      </w:r>
    </w:p>
    <w:p>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度年末一般公共预算财政拨款结转和结余55.91万元，增加161.3%，主要原因是2019年结转社会化退休管理214037.66元，2020年已经支付，2020年结转为军代室建设143775元、老旧小区汇洋大厦整治415368.33元。2020结余项目按照合同进度，2021年完成支付。</w:t>
      </w:r>
    </w:p>
    <w:p>
      <w:pPr>
        <w:pStyle w:val="6"/>
        <w:widowControl w:val="0"/>
        <w:shd w:val="clear" w:color="auto" w:fill="FFFFFF"/>
        <w:spacing w:before="0" w:beforeAutospacing="0" w:after="0" w:afterAutospacing="0" w:line="579" w:lineRule="exact"/>
        <w:ind w:firstLine="643" w:firstLineChars="200"/>
        <w:jc w:val="both"/>
        <w:rPr>
          <w:rFonts w:ascii="Times New Roman" w:hAnsi="Times New Roman" w:eastAsia="楷体" w:cs="Times New Roman"/>
          <w:b/>
          <w:sz w:val="32"/>
          <w:szCs w:val="32"/>
        </w:rPr>
      </w:pPr>
      <w:r>
        <w:rPr>
          <w:rFonts w:ascii="Times New Roman" w:hAnsi="Times New Roman" w:eastAsia="楷体" w:cs="Times New Roman"/>
          <w:b/>
          <w:sz w:val="32"/>
          <w:szCs w:val="32"/>
        </w:rPr>
        <w:t>4.比较情况</w:t>
      </w:r>
    </w:p>
    <w:p>
      <w:pPr>
        <w:pStyle w:val="6"/>
        <w:widowControl w:val="0"/>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本部门2020年度一般公共预算财政拨款支出主要用于以下几个方面：</w:t>
      </w:r>
    </w:p>
    <w:p>
      <w:pPr>
        <w:pStyle w:val="6"/>
        <w:widowControl w:val="0"/>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1）一般公共服务支出2098.5万元，占29.6%，较年初预算数增加213.89万元，增长11.3%，主要原因是年中追加人大代表活动费及代表之家建设管理经费11.88万元。追加老党员春节、元旦、七一慰问33.28万元。追加基层党组织建设经费、经济普查补助等168.73万元。</w:t>
      </w:r>
    </w:p>
    <w:p>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（2）科学技术支出3.81万元，占0.1%，较年初预算数增加3.81万元，主要原因是追加了</w:t>
      </w:r>
      <w:r>
        <w:rPr>
          <w:rFonts w:ascii="Times New Roman" w:hAnsi="Times New Roman" w:eastAsia="方正仿宋_GBK" w:cs="Times New Roman"/>
          <w:sz w:val="32"/>
          <w:szCs w:val="32"/>
          <w:shd w:val="clear" w:color="auto" w:fill="FFFFFF"/>
        </w:rPr>
        <w:t>科普大学教学点补助经费3.81万元</w:t>
      </w:r>
      <w:r>
        <w:rPr>
          <w:rFonts w:ascii="Times New Roman" w:hAnsi="Times New Roman" w:eastAsia="方正仿宋_GBK" w:cs="Times New Roman"/>
          <w:sz w:val="32"/>
          <w:szCs w:val="32"/>
        </w:rPr>
        <w:t>。</w:t>
      </w:r>
    </w:p>
    <w:p>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文化旅游体育与传媒支出91.36万元，占1.3%，较年初预算数增加56.39万元，增长161.3%，主要原因是年中追加下达创建国家公共文化服务体系示范区示范点建设资金、公共文化免费开放补助经费、新时代文明实践中心建设试点项目经费、公共服务文化服务体系建设绩效奖励资金等56.39万元。</w:t>
      </w:r>
    </w:p>
    <w:p>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（4）社会保障与就业支出2081.06万元，占29.2%，较年初预算数增加323.83万元，增长18.4%，主要原因是年中追加下达国有企业退休人员社会化管理补助资金323.83万元。</w:t>
      </w:r>
    </w:p>
    <w:p>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（5）卫生健康支出117.77万元，占1.7%，较年初预算数增加33.22万元，增长39.3%，主要原因是年中追加下达新型冠状病毒感染的肺炎疫情防控中央补助资金30万元。追加独生子女父母奖励金3.22万元。</w:t>
      </w:r>
    </w:p>
    <w:p>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（6）城乡社区支出2361.06万元，占33.3%，较年初预算数增加133.1万元，增长6.0%，主要原因是年中追加下达街镇生活垃圾分类建设经费、一线环卫工人慰问经费、路内停车管理专项经费等133.1万元。</w:t>
      </w:r>
    </w:p>
    <w:p>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（7）农林水支出79万元，占1.1%，较年初预算数增加79万元，主要原因是年中追加下达防汛抢险和灾后重建补助经费79万元。</w:t>
      </w:r>
    </w:p>
    <w:p>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（8）住房保障支出230.56万元，占3.3%，较年初预算数增加176.83万元，增长329.1%，主要原因是年中追加城镇老旧小区改造项目资金176.83万元。</w:t>
      </w:r>
    </w:p>
    <w:p>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（9）灾害防治及应急管理支出28.96万元，占0.4%，较年初预算数增加28.96万元。主要原因是三无无水高层居住建筑室内消火栓通水改造28.96万元。</w:t>
      </w:r>
    </w:p>
    <w:p>
      <w:pPr>
        <w:pStyle w:val="6"/>
        <w:shd w:val="clear" w:color="auto" w:fill="FFFFFF"/>
        <w:spacing w:before="0" w:beforeAutospacing="0" w:after="0" w:afterAutospacing="0" w:line="579" w:lineRule="exact"/>
        <w:ind w:firstLine="640" w:firstLineChars="200"/>
        <w:jc w:val="both"/>
        <w:outlineLvl w:val="0"/>
        <w:rPr>
          <w:rFonts w:ascii="方正楷体_GBK" w:hAnsi="方正楷体_GBK" w:eastAsia="方正楷体_GBK" w:cs="方正楷体_GBK"/>
          <w:sz w:val="32"/>
          <w:szCs w:val="32"/>
        </w:rPr>
      </w:pPr>
      <w:r>
        <w:rPr>
          <w:rStyle w:val="9"/>
          <w:rFonts w:hint="eastAsia" w:ascii="方正楷体_GBK" w:hAnsi="方正楷体_GBK" w:eastAsia="方正楷体_GBK" w:cs="方正楷体_GBK"/>
          <w:b w:val="0"/>
          <w:bCs w:val="0"/>
          <w:sz w:val="32"/>
          <w:szCs w:val="32"/>
        </w:rPr>
        <w:t>（四）一般公共预算财政拨款基本支出决算情况说明</w:t>
      </w:r>
    </w:p>
    <w:p>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度一般公共财政拨款基本支出1520.18万元。其中：人员经费1157.6万元，较上年决算数增加8.79万元，增加0.8%，主要原因是街道人员变动以及工资职级正常晋级调标等原因。公用经费362.58万元，较上年决算数增加118.6万元，增长48.6%，主要原因：一是街道职责职能增加，编制数调增10人，公用经费相应增加；二是部分商品价格上涨。公用经费用途主要包括办公费、印刷费、水费、电费、邮电费、差旅费、劳务费、公务接待费、公务用车运行维护费等。</w:t>
      </w:r>
    </w:p>
    <w:p>
      <w:pPr>
        <w:pStyle w:val="6"/>
        <w:shd w:val="clear" w:color="auto" w:fill="FFFFFF"/>
        <w:spacing w:before="0" w:beforeAutospacing="0" w:after="0" w:afterAutospacing="0" w:line="579" w:lineRule="exact"/>
        <w:ind w:firstLine="640" w:firstLineChars="200"/>
        <w:jc w:val="both"/>
        <w:outlineLvl w:val="0"/>
        <w:rPr>
          <w:rStyle w:val="9"/>
          <w:rFonts w:ascii="方正楷体_GBK" w:hAnsi="方正楷体_GBK" w:eastAsia="方正楷体_GBK" w:cs="方正楷体_GBK"/>
          <w:b w:val="0"/>
          <w:bCs w:val="0"/>
          <w:sz w:val="32"/>
          <w:szCs w:val="32"/>
        </w:rPr>
      </w:pPr>
      <w:r>
        <w:rPr>
          <w:rStyle w:val="9"/>
          <w:rFonts w:hint="eastAsia" w:ascii="方正楷体_GBK" w:hAnsi="方正楷体_GBK" w:eastAsia="方正楷体_GBK" w:cs="方正楷体_GBK"/>
          <w:b w:val="0"/>
          <w:bCs w:val="0"/>
          <w:sz w:val="32"/>
          <w:szCs w:val="32"/>
        </w:rPr>
        <w:t>（五）政府性基金预算收支决算情况说明</w:t>
      </w:r>
    </w:p>
    <w:p>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2020年度政府性基金预算财政拨款年初结转结余0万元，年末结转结余3万元。本年收入487.54万元，较上年决算数增加361.85万元，增长287.9%，主要原因是年中追加社区养老服务设施2020年运营补贴资金198.85万元、   2020年社会工作服务项目资金20万元、新冠肺炎疫情防控特别国债资金143万元。本年支出484.54万元，较上年决算数增加358.85万元，增长285.5%，主要原因是年中追加社区养老服务设施2020年运营补贴资金198.85万元、   2020年社会工作服务项目资金17万元、新冠肺炎疫情防控特别国债资金143万元。</w:t>
      </w:r>
    </w:p>
    <w:p>
      <w:pPr>
        <w:pStyle w:val="6"/>
        <w:shd w:val="clear" w:color="auto" w:fill="FFFFFF"/>
        <w:spacing w:before="0" w:beforeAutospacing="0" w:after="0" w:afterAutospacing="0" w:line="579" w:lineRule="exact"/>
        <w:ind w:firstLine="640" w:firstLineChars="200"/>
        <w:jc w:val="both"/>
        <w:outlineLvl w:val="0"/>
        <w:rPr>
          <w:rFonts w:ascii="方正楷体_GBK" w:hAnsi="方正楷体_GBK" w:eastAsia="方正楷体_GBK" w:cs="方正楷体_GBK"/>
          <w:sz w:val="32"/>
          <w:szCs w:val="32"/>
        </w:rPr>
      </w:pPr>
      <w:r>
        <w:rPr>
          <w:rStyle w:val="9"/>
          <w:rFonts w:hint="eastAsia" w:ascii="方正楷体_GBK" w:hAnsi="方正楷体_GBK" w:eastAsia="方正楷体_GBK" w:cs="方正楷体_GBK"/>
          <w:b w:val="0"/>
          <w:bCs w:val="0"/>
          <w:sz w:val="32"/>
          <w:szCs w:val="32"/>
        </w:rPr>
        <w:t>（六）国有资本经营预算财政拨款支出决算情况说明</w:t>
      </w:r>
    </w:p>
    <w:p>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本部门2020年度无国有资本经营预算财政拨款支出。</w:t>
      </w:r>
    </w:p>
    <w:p>
      <w:pPr>
        <w:pStyle w:val="6"/>
        <w:shd w:val="clear" w:color="auto" w:fill="FFFFFF"/>
        <w:spacing w:before="0" w:beforeAutospacing="0" w:after="0" w:afterAutospacing="0" w:line="579" w:lineRule="exact"/>
        <w:ind w:firstLine="640" w:firstLineChars="200"/>
        <w:jc w:val="both"/>
        <w:outlineLvl w:val="0"/>
        <w:rPr>
          <w:rStyle w:val="9"/>
          <w:rFonts w:ascii="方正黑体_GBK" w:hAnsi="方正黑体_GBK" w:eastAsia="方正黑体_GBK" w:cs="方正黑体_GBK"/>
          <w:sz w:val="32"/>
          <w:szCs w:val="32"/>
        </w:rPr>
      </w:pPr>
      <w:r>
        <w:rPr>
          <w:rStyle w:val="9"/>
          <w:rFonts w:hint="eastAsia" w:ascii="方正黑体_GBK" w:hAnsi="方正黑体_GBK" w:eastAsia="方正黑体_GBK" w:cs="方正黑体_GBK"/>
          <w:b w:val="0"/>
          <w:sz w:val="32"/>
          <w:szCs w:val="32"/>
        </w:rPr>
        <w:t>三、“三公”经费情况说明</w:t>
      </w:r>
    </w:p>
    <w:p>
      <w:pPr>
        <w:pStyle w:val="6"/>
        <w:shd w:val="clear" w:color="auto" w:fill="FFFFFF"/>
        <w:spacing w:before="0" w:beforeAutospacing="0" w:after="0" w:afterAutospacing="0" w:line="579" w:lineRule="exact"/>
        <w:ind w:firstLine="640" w:firstLineChars="200"/>
        <w:jc w:val="both"/>
        <w:outlineLvl w:val="1"/>
        <w:rPr>
          <w:rFonts w:ascii="方正楷体_GBK" w:hAnsi="方正楷体_GBK" w:eastAsia="方正楷体_GBK" w:cs="方正楷体_GBK"/>
          <w:sz w:val="32"/>
          <w:szCs w:val="32"/>
        </w:rPr>
      </w:pPr>
      <w:r>
        <w:rPr>
          <w:rStyle w:val="9"/>
          <w:rFonts w:hint="eastAsia" w:ascii="方正楷体_GBK" w:hAnsi="方正楷体_GBK" w:eastAsia="方正楷体_GBK" w:cs="方正楷体_GBK"/>
          <w:b w:val="0"/>
          <w:bCs w:val="0"/>
          <w:sz w:val="32"/>
          <w:szCs w:val="32"/>
        </w:rPr>
        <w:t>（一）“三公”经费支出总体情况说明</w:t>
      </w:r>
    </w:p>
    <w:p>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度“三公”经费支出共计12.21万元，较年初预算数减少23.69万元，下降66.0%，主要原因:一是认真贯彻落实中央八项规定精神，按照只减不增的要求从严控制“三公”经费，全年实际支出较年初预算和上年决算均有所下降；二是强化公务接待支出管理，严格遵守公务接待开支范围和开支标准，严格控制陪餐人数，公务接待费大幅下降；三是进一步规范因公出国（境）活动，今年未安排人员出国出访。较上年支出数减少0.3万元，减少2.5%，主要原因是</w:t>
      </w:r>
      <w:r>
        <w:rPr>
          <w:rFonts w:ascii="Times New Roman" w:hAnsi="Times New Roman" w:eastAsia="方正仿宋_GBK" w:cs="Times New Roman"/>
          <w:sz w:val="32"/>
          <w:szCs w:val="32"/>
          <w:shd w:val="clear" w:color="auto" w:fill="FFFFFF"/>
        </w:rPr>
        <w:t>严格执行中央八项规定，严控三公经费支出</w:t>
      </w:r>
      <w:r>
        <w:rPr>
          <w:rFonts w:ascii="Times New Roman" w:hAnsi="Times New Roman" w:eastAsia="方正仿宋_GBK" w:cs="Times New Roman"/>
          <w:sz w:val="32"/>
          <w:szCs w:val="32"/>
        </w:rPr>
        <w:t>。</w:t>
      </w:r>
    </w:p>
    <w:p>
      <w:pPr>
        <w:pStyle w:val="6"/>
        <w:shd w:val="clear" w:color="auto" w:fill="FFFFFF"/>
        <w:spacing w:before="0" w:beforeAutospacing="0" w:after="0" w:afterAutospacing="0" w:line="579" w:lineRule="exact"/>
        <w:ind w:firstLine="640" w:firstLineChars="200"/>
        <w:jc w:val="both"/>
        <w:outlineLvl w:val="1"/>
        <w:rPr>
          <w:rFonts w:ascii="方正楷体_GBK" w:hAnsi="方正楷体_GBK" w:eastAsia="方正楷体_GBK" w:cs="方正楷体_GBK"/>
          <w:sz w:val="32"/>
          <w:szCs w:val="32"/>
        </w:rPr>
      </w:pPr>
      <w:r>
        <w:rPr>
          <w:rStyle w:val="9"/>
          <w:rFonts w:hint="eastAsia" w:ascii="方正楷体_GBK" w:hAnsi="方正楷体_GBK" w:eastAsia="方正楷体_GBK" w:cs="方正楷体_GBK"/>
          <w:b w:val="0"/>
          <w:bCs w:val="0"/>
          <w:sz w:val="32"/>
          <w:szCs w:val="32"/>
        </w:rPr>
        <w:t>（二）“三公”经费分项支出情况</w:t>
      </w:r>
    </w:p>
    <w:p>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本单位2020年度未发生因公出国（境）支出。费用支出较年初预算数增加0万元，主要原因是今年未安排因公出国（境）支出。费用支出较年初预算数没有变化，主要原因是未发生因公出国（境）费用支出。较上年支出数没有变化，主要原因是未发生因公出国（境）费用支出；与上年决算数相比，基本持平。</w:t>
      </w:r>
    </w:p>
    <w:p>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本单位2020年度未发生公务车购置支出。费用支出较年初预算数增加0万元；较上年支出数增加0万元。主要原因是2019年度、2020年度均未安排公务车购置。</w:t>
      </w:r>
    </w:p>
    <w:p>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公务车运行维护费11.87万元，主要用于因公出行、业务检查等工作所需车辆的燃料费、维修费、过桥过路费、保险费等。费用支出较年初预算数减少 22.13万元，下降 65.1%。主要原因是严格落实公车使用规定，严禁公车私用，公车运行维护支出较年初预算有所下降。较上年支出数减少2.01万元，减少20.4%。主要原因是实施公车改革，同时严格落实公车使用规定，实行公车定点维修，公车运行维护成本大幅下降。</w:t>
      </w:r>
    </w:p>
    <w:p>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公务接待费0.33万元，主要用于创新社会治理交流考察发生的接待支出。费用支出较年初预算数减少 1.57万元，下降82.6%；较上年支出数减少1.71万元，下降83.8%。较年初预算和上年决算下降的主要原因是强化公务接待支出管理，严格遵守公务接待开支范围和开支标准，严格控制陪餐人数，公务接待费大幅下降。</w:t>
      </w:r>
    </w:p>
    <w:p>
      <w:pPr>
        <w:pStyle w:val="6"/>
        <w:shd w:val="clear" w:color="auto" w:fill="FFFFFF"/>
        <w:spacing w:before="0" w:beforeAutospacing="0" w:after="0" w:afterAutospacing="0" w:line="579" w:lineRule="exact"/>
        <w:ind w:firstLine="640" w:firstLineChars="200"/>
        <w:jc w:val="both"/>
        <w:outlineLvl w:val="1"/>
        <w:rPr>
          <w:rFonts w:ascii="方正楷体_GBK" w:hAnsi="方正楷体_GBK" w:eastAsia="方正楷体_GBK" w:cs="方正楷体_GBK"/>
          <w:sz w:val="32"/>
          <w:szCs w:val="32"/>
        </w:rPr>
      </w:pPr>
      <w:r>
        <w:rPr>
          <w:rStyle w:val="9"/>
          <w:rFonts w:hint="eastAsia" w:ascii="方正楷体_GBK" w:hAnsi="方正楷体_GBK" w:eastAsia="方正楷体_GBK" w:cs="方正楷体_GBK"/>
          <w:b w:val="0"/>
          <w:bCs w:val="0"/>
          <w:sz w:val="32"/>
          <w:szCs w:val="32"/>
        </w:rPr>
        <w:t>（三）“三公”经费实物量情况</w:t>
      </w:r>
    </w:p>
    <w:p>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度本部门因公出国（境）共计0个团组，0人；公务用车购置0辆，公务车保有量为4辆；国内公务接待13批次84人，其中：国内外事接待0批次，0人；国（境）外公务接待0批次，0人。2020年本部门人均接待费39.29元，车均购置费0万元，车均维护费2.97万元。</w:t>
      </w:r>
    </w:p>
    <w:p>
      <w:pPr>
        <w:pStyle w:val="6"/>
        <w:shd w:val="clear" w:color="auto" w:fill="FFFFFF"/>
        <w:spacing w:before="0" w:beforeAutospacing="0" w:after="0" w:afterAutospacing="0" w:line="579" w:lineRule="exact"/>
        <w:ind w:firstLine="640" w:firstLineChars="200"/>
        <w:jc w:val="both"/>
        <w:outlineLvl w:val="0"/>
        <w:rPr>
          <w:rStyle w:val="9"/>
          <w:rFonts w:ascii="方正黑体_GBK" w:hAnsi="方正黑体_GBK" w:eastAsia="方正黑体_GBK" w:cs="方正黑体_GBK"/>
          <w:sz w:val="32"/>
          <w:szCs w:val="32"/>
        </w:rPr>
      </w:pPr>
      <w:r>
        <w:rPr>
          <w:rStyle w:val="9"/>
          <w:rFonts w:hint="eastAsia" w:ascii="方正黑体_GBK" w:hAnsi="方正黑体_GBK" w:eastAsia="方正黑体_GBK" w:cs="方正黑体_GBK"/>
          <w:b w:val="0"/>
          <w:sz w:val="32"/>
          <w:szCs w:val="32"/>
        </w:rPr>
        <w:t>四、其他需要说明的事项</w:t>
      </w:r>
    </w:p>
    <w:p>
      <w:pPr>
        <w:pStyle w:val="6"/>
        <w:widowControl w:val="0"/>
        <w:shd w:val="clear" w:color="auto" w:fill="FFFFFF"/>
        <w:spacing w:before="0" w:beforeAutospacing="0" w:after="0" w:afterAutospacing="0" w:line="579" w:lineRule="exact"/>
        <w:ind w:firstLine="640" w:firstLineChars="200"/>
        <w:jc w:val="both"/>
        <w:rPr>
          <w:rStyle w:val="9"/>
          <w:rFonts w:ascii="方正楷体_GBK" w:hAnsi="方正楷体_GBK" w:eastAsia="方正楷体_GBK" w:cs="方正楷体_GBK"/>
          <w:b w:val="0"/>
          <w:bCs w:val="0"/>
          <w:sz w:val="32"/>
          <w:szCs w:val="32"/>
        </w:rPr>
      </w:pPr>
      <w:r>
        <w:rPr>
          <w:rStyle w:val="9"/>
          <w:rFonts w:hint="eastAsia" w:ascii="方正楷体_GBK" w:hAnsi="方正楷体_GBK" w:eastAsia="方正楷体_GBK" w:cs="方正楷体_GBK"/>
          <w:b w:val="0"/>
          <w:bCs w:val="0"/>
          <w:sz w:val="32"/>
          <w:szCs w:val="32"/>
        </w:rPr>
        <w:t>（一）机关运行经费情况说明</w:t>
      </w:r>
    </w:p>
    <w:p>
      <w:pPr>
        <w:pStyle w:val="6"/>
        <w:widowControl w:val="0"/>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度本部门机关运行经费支出362.58万元，机关运行经费主要用于开支办公费、水电费、邮电费、公务车运行维护费、差旅费等。机关运行经费较上年决算数增加118.6万元，增长48.6%，主要原因：一是街道职责职能增加，编制数调增10人，公用经费相应增加；二是部分商品价格上涨。</w:t>
      </w:r>
    </w:p>
    <w:p>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其中：本年度会议费支出2.1万元，较上年决算数增加1.95万元，增长 1300%，主要原因是由于多次召开抗洪抢险、文明城区复检等工作会议，会议费较上年有所增加。本年度培训费支出1.95万元，较上年决算数减少 1.27万元，增加186.8%，主要原因是人大代表培训、执法培训人数增多。</w:t>
      </w:r>
    </w:p>
    <w:p>
      <w:pPr>
        <w:widowControl w:val="0"/>
        <w:spacing w:line="579" w:lineRule="exact"/>
        <w:ind w:firstLine="640" w:firstLineChars="200"/>
        <w:jc w:val="both"/>
        <w:rPr>
          <w:rStyle w:val="9"/>
          <w:rFonts w:ascii="方正楷体_GBK" w:hAnsi="方正楷体_GBK" w:eastAsia="方正楷体_GBK" w:cs="方正楷体_GBK"/>
          <w:b w:val="0"/>
          <w:bCs w:val="0"/>
          <w:sz w:val="32"/>
          <w:szCs w:val="32"/>
        </w:rPr>
      </w:pPr>
      <w:r>
        <w:rPr>
          <w:rStyle w:val="9"/>
          <w:rFonts w:hint="eastAsia" w:ascii="方正楷体_GBK" w:hAnsi="方正楷体_GBK" w:eastAsia="方正楷体_GBK" w:cs="方正楷体_GBK"/>
          <w:b w:val="0"/>
          <w:bCs w:val="0"/>
          <w:sz w:val="32"/>
          <w:szCs w:val="32"/>
        </w:rPr>
        <w:t>（二）国有资产占用情况说明</w:t>
      </w:r>
    </w:p>
    <w:p>
      <w:pPr>
        <w:widowControl w:val="0"/>
        <w:spacing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截至2020年12月31日，本部门共有车辆4辆，其中，副部（省）级及以上领导用车0辆、主要领导干部用车0辆、机要通信用车0辆、应急保障用车4辆、执法执勤用车0辆，特种专业技术用车0辆，离退休干部用车0辆，其他用车0辆。单价50万元（含）以上通用设备0台（套），单价100万元（含）以上专用设备0台（套）。</w:t>
      </w:r>
    </w:p>
    <w:p>
      <w:pPr>
        <w:pStyle w:val="6"/>
        <w:shd w:val="clear" w:color="auto" w:fill="FFFFFF"/>
        <w:spacing w:before="0" w:beforeAutospacing="0" w:after="0" w:afterAutospacing="0" w:line="579" w:lineRule="exact"/>
        <w:ind w:firstLine="640" w:firstLineChars="200"/>
        <w:jc w:val="both"/>
        <w:rPr>
          <w:rStyle w:val="9"/>
          <w:rFonts w:ascii="方正楷体_GBK" w:hAnsi="方正楷体_GBK" w:eastAsia="方正楷体_GBK" w:cs="方正楷体_GBK"/>
          <w:b w:val="0"/>
          <w:sz w:val="32"/>
          <w:szCs w:val="32"/>
        </w:rPr>
      </w:pPr>
      <w:r>
        <w:rPr>
          <w:rStyle w:val="9"/>
          <w:rFonts w:hint="eastAsia" w:ascii="方正楷体_GBK" w:hAnsi="方正楷体_GBK" w:eastAsia="方正楷体_GBK" w:cs="方正楷体_GBK"/>
          <w:b w:val="0"/>
          <w:sz w:val="32"/>
          <w:szCs w:val="32"/>
        </w:rPr>
        <w:t>（三）政府采购支出情况说明</w:t>
      </w:r>
    </w:p>
    <w:p>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度本部门政府采购支出总额975.01万元，其中：政府采购货物支出4.4万元、政府采购工程支出0万元、政府采购服务支出970.61万元。授予中小企业合同金额913.01万元，占政府采购支出总额的93.6%，其中：授予小微企业合同金额0万元，占政府采购支出总额的0%。</w:t>
      </w:r>
      <w:r>
        <w:rPr>
          <w:rFonts w:ascii="Times New Roman" w:hAnsi="Times New Roman" w:eastAsia="方正仿宋_GBK" w:cs="Times New Roman"/>
          <w:sz w:val="32"/>
          <w:szCs w:val="32"/>
          <w:shd w:val="clear" w:color="auto" w:fill="FFFFFF"/>
        </w:rPr>
        <w:t>主要用于采购电脑、空调、党建阵地建设打造、社区办公室物资采购、清扫保洁招标等。</w:t>
      </w:r>
    </w:p>
    <w:p>
      <w:pPr>
        <w:pStyle w:val="6"/>
        <w:shd w:val="clear" w:color="auto" w:fill="FFFFFF"/>
        <w:spacing w:before="0" w:beforeAutospacing="0" w:after="0" w:afterAutospacing="0" w:line="579" w:lineRule="exact"/>
        <w:ind w:firstLine="640" w:firstLineChars="200"/>
        <w:jc w:val="both"/>
        <w:outlineLvl w:val="0"/>
        <w:rPr>
          <w:rStyle w:val="9"/>
          <w:rFonts w:ascii="方正黑体_GBK" w:hAnsi="方正黑体_GBK" w:eastAsia="方正黑体_GBK" w:cs="方正黑体_GBK"/>
          <w:b w:val="0"/>
          <w:sz w:val="32"/>
          <w:szCs w:val="32"/>
        </w:rPr>
      </w:pPr>
      <w:r>
        <w:rPr>
          <w:rStyle w:val="9"/>
          <w:rFonts w:hint="eastAsia" w:ascii="方正黑体_GBK" w:hAnsi="方正黑体_GBK" w:eastAsia="方正黑体_GBK" w:cs="方正黑体_GBK"/>
          <w:b w:val="0"/>
          <w:sz w:val="32"/>
          <w:szCs w:val="32"/>
        </w:rPr>
        <w:t>五、预算绩效管理情况说明</w:t>
      </w:r>
    </w:p>
    <w:p>
      <w:pPr>
        <w:pStyle w:val="6"/>
        <w:shd w:val="clear" w:color="auto" w:fill="FFFFFF"/>
        <w:spacing w:before="0" w:beforeAutospacing="0" w:after="0" w:afterAutospacing="0" w:line="579" w:lineRule="exact"/>
        <w:ind w:firstLine="640" w:firstLineChars="200"/>
        <w:jc w:val="both"/>
        <w:rPr>
          <w:rStyle w:val="9"/>
          <w:rFonts w:ascii="方正楷体_GBK" w:hAnsi="方正楷体_GBK" w:eastAsia="方正楷体_GBK" w:cs="方正楷体_GBK"/>
          <w:b w:val="0"/>
          <w:sz w:val="32"/>
          <w:szCs w:val="32"/>
        </w:rPr>
      </w:pPr>
      <w:r>
        <w:rPr>
          <w:rStyle w:val="9"/>
          <w:rFonts w:hint="eastAsia" w:ascii="方正楷体_GBK" w:hAnsi="方正楷体_GBK" w:eastAsia="方正楷体_GBK" w:cs="方正楷体_GBK"/>
          <w:b w:val="0"/>
          <w:sz w:val="32"/>
          <w:szCs w:val="32"/>
        </w:rPr>
        <w:t>（一）预算绩效管理工作开展情况</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方正仿宋_GBK" w:cs="Times New Roman"/>
          <w:sz w:val="32"/>
          <w:szCs w:val="32"/>
        </w:rPr>
        <w:t>根据预算绩效管理要求，本部门对23个项目开展了绩效自评，其中以填报目标自评表形式开展自评23项，涉及资金6232.7万元；以委托第三方形式开展绩效自评0项，涉及资金0万元。从评价情况来看，各个项目支出均按照相关立项依据立项，项目支出专款专用，按项目实施进度计划执行，均完成项目当年绩效目标。</w:t>
      </w:r>
    </w:p>
    <w:p>
      <w:pPr>
        <w:pStyle w:val="13"/>
        <w:tabs>
          <w:tab w:val="center" w:pos="4153"/>
          <w:tab w:val="left" w:pos="7275"/>
        </w:tabs>
        <w:spacing w:line="579" w:lineRule="exact"/>
        <w:ind w:firstLine="640"/>
        <w:rPr>
          <w:rFonts w:ascii="方正楷体_GBK" w:hAnsi="方正楷体_GBK" w:eastAsia="方正楷体_GBK" w:cs="方正楷体_GBK"/>
          <w:bCs/>
          <w:kern w:val="0"/>
          <w:sz w:val="32"/>
          <w:szCs w:val="32"/>
        </w:rPr>
      </w:pPr>
      <w:r>
        <w:rPr>
          <w:rFonts w:hint="eastAsia" w:ascii="方正楷体_GBK" w:hAnsi="方正楷体_GBK" w:eastAsia="方正楷体_GBK" w:cs="方正楷体_GBK"/>
          <w:bCs/>
          <w:kern w:val="0"/>
          <w:sz w:val="32"/>
          <w:szCs w:val="32"/>
        </w:rPr>
        <w:t>（二）绩效自评结果</w:t>
      </w:r>
    </w:p>
    <w:tbl>
      <w:tblPr>
        <w:tblStyle w:val="7"/>
        <w:tblpPr w:leftFromText="180" w:rightFromText="180" w:vertAnchor="text" w:horzAnchor="page" w:tblpX="1436" w:tblpY="543"/>
        <w:tblOverlap w:val="never"/>
        <w:tblW w:w="9215" w:type="dxa"/>
        <w:tblInd w:w="0" w:type="dxa"/>
        <w:tblLayout w:type="fixed"/>
        <w:tblCellMar>
          <w:top w:w="0" w:type="dxa"/>
          <w:left w:w="108" w:type="dxa"/>
          <w:bottom w:w="0" w:type="dxa"/>
          <w:right w:w="108" w:type="dxa"/>
        </w:tblCellMar>
      </w:tblPr>
      <w:tblGrid>
        <w:gridCol w:w="1002"/>
        <w:gridCol w:w="1267"/>
        <w:gridCol w:w="142"/>
        <w:gridCol w:w="425"/>
        <w:gridCol w:w="709"/>
        <w:gridCol w:w="831"/>
        <w:gridCol w:w="445"/>
        <w:gridCol w:w="141"/>
        <w:gridCol w:w="709"/>
        <w:gridCol w:w="142"/>
        <w:gridCol w:w="850"/>
        <w:gridCol w:w="851"/>
        <w:gridCol w:w="850"/>
        <w:gridCol w:w="851"/>
      </w:tblGrid>
      <w:tr>
        <w:tblPrEx>
          <w:tblCellMar>
            <w:top w:w="0" w:type="dxa"/>
            <w:left w:w="108" w:type="dxa"/>
            <w:bottom w:w="0" w:type="dxa"/>
            <w:right w:w="108" w:type="dxa"/>
          </w:tblCellMar>
        </w:tblPrEx>
        <w:trPr>
          <w:trHeight w:val="601" w:hRule="atLeast"/>
        </w:trPr>
        <w:tc>
          <w:tcPr>
            <w:tcW w:w="9215" w:type="dxa"/>
            <w:gridSpan w:val="14"/>
            <w:tcBorders>
              <w:top w:val="nil"/>
              <w:left w:val="nil"/>
              <w:bottom w:val="nil"/>
              <w:right w:val="nil"/>
            </w:tcBorders>
            <w:shd w:val="clear" w:color="auto" w:fill="auto"/>
            <w:vAlign w:val="center"/>
          </w:tcPr>
          <w:p>
            <w:pPr>
              <w:autoSpaceDN w:val="0"/>
              <w:jc w:val="center"/>
              <w:rPr>
                <w:rFonts w:ascii="方正小标宋_GBK" w:hAnsi="Calibri" w:eastAsia="方正小标宋_GBK"/>
                <w:color w:val="000000"/>
                <w:sz w:val="36"/>
                <w:szCs w:val="36"/>
              </w:rPr>
            </w:pPr>
            <w:r>
              <w:rPr>
                <w:rFonts w:ascii="方正小标宋_GBK" w:eastAsia="方正小标宋_GBK"/>
                <w:color w:val="000000"/>
                <w:sz w:val="36"/>
                <w:szCs w:val="36"/>
              </w:rPr>
              <w:t>2020年预算项目绩效目标自评表</w:t>
            </w:r>
          </w:p>
        </w:tc>
      </w:tr>
      <w:tr>
        <w:tblPrEx>
          <w:tblCellMar>
            <w:top w:w="0" w:type="dxa"/>
            <w:left w:w="108" w:type="dxa"/>
            <w:bottom w:w="0" w:type="dxa"/>
            <w:right w:w="108" w:type="dxa"/>
          </w:tblCellMar>
        </w:tblPrEx>
        <w:trPr>
          <w:trHeight w:val="601" w:hRule="atLeast"/>
        </w:trPr>
        <w:tc>
          <w:tcPr>
            <w:tcW w:w="1002"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项目名称</w:t>
            </w:r>
          </w:p>
        </w:tc>
        <w:tc>
          <w:tcPr>
            <w:tcW w:w="1834" w:type="dxa"/>
            <w:gridSpan w:val="3"/>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退役军人事务政策性专项　</w:t>
            </w:r>
          </w:p>
        </w:tc>
        <w:tc>
          <w:tcPr>
            <w:tcW w:w="709" w:type="dxa"/>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项目编码</w:t>
            </w:r>
          </w:p>
        </w:tc>
        <w:tc>
          <w:tcPr>
            <w:tcW w:w="1276" w:type="dxa"/>
            <w:gridSpan w:val="2"/>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2020B1042</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自评总分</w:t>
            </w:r>
          </w:p>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（分）</w:t>
            </w:r>
          </w:p>
        </w:tc>
        <w:tc>
          <w:tcPr>
            <w:tcW w:w="3544" w:type="dxa"/>
            <w:gridSpan w:val="5"/>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w:t>
            </w:r>
          </w:p>
        </w:tc>
      </w:tr>
      <w:tr>
        <w:tblPrEx>
          <w:tblCellMar>
            <w:top w:w="0" w:type="dxa"/>
            <w:left w:w="108" w:type="dxa"/>
            <w:bottom w:w="0" w:type="dxa"/>
            <w:right w:w="108" w:type="dxa"/>
          </w:tblCellMar>
        </w:tblPrEx>
        <w:trPr>
          <w:trHeight w:val="601" w:hRule="atLeast"/>
        </w:trPr>
        <w:tc>
          <w:tcPr>
            <w:tcW w:w="1002"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主管部门</w:t>
            </w:r>
          </w:p>
        </w:tc>
        <w:tc>
          <w:tcPr>
            <w:tcW w:w="1834" w:type="dxa"/>
            <w:gridSpan w:val="3"/>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重庆市南岸区人民政府花园路街道办事处(机关)</w:t>
            </w:r>
          </w:p>
        </w:tc>
        <w:tc>
          <w:tcPr>
            <w:tcW w:w="709"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财政处室</w:t>
            </w:r>
          </w:p>
        </w:tc>
        <w:tc>
          <w:tcPr>
            <w:tcW w:w="1276" w:type="dxa"/>
            <w:gridSpan w:val="2"/>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社保科　</w:t>
            </w:r>
          </w:p>
        </w:tc>
        <w:tc>
          <w:tcPr>
            <w:tcW w:w="850" w:type="dxa"/>
            <w:gridSpan w:val="2"/>
            <w:tcBorders>
              <w:top w:val="nil"/>
              <w:left w:val="nil"/>
              <w:bottom w:val="single" w:color="auto" w:sz="4" w:space="0"/>
              <w:right w:val="single" w:color="auto" w:sz="4" w:space="0"/>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项目</w:t>
            </w:r>
          </w:p>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联系人</w:t>
            </w:r>
          </w:p>
        </w:tc>
        <w:tc>
          <w:tcPr>
            <w:tcW w:w="992" w:type="dxa"/>
            <w:gridSpan w:val="2"/>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樊荣　</w:t>
            </w:r>
          </w:p>
        </w:tc>
        <w:tc>
          <w:tcPr>
            <w:tcW w:w="851"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联系电话</w:t>
            </w:r>
          </w:p>
        </w:tc>
        <w:tc>
          <w:tcPr>
            <w:tcW w:w="1701" w:type="dxa"/>
            <w:gridSpan w:val="2"/>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023-62804766　</w:t>
            </w:r>
          </w:p>
        </w:tc>
      </w:tr>
      <w:tr>
        <w:tblPrEx>
          <w:tblCellMar>
            <w:top w:w="0" w:type="dxa"/>
            <w:left w:w="108" w:type="dxa"/>
            <w:bottom w:w="0" w:type="dxa"/>
            <w:right w:w="108" w:type="dxa"/>
          </w:tblCellMar>
        </w:tblPrEx>
        <w:trPr>
          <w:cantSplit/>
          <w:trHeight w:val="601" w:hRule="atLeast"/>
        </w:trPr>
        <w:tc>
          <w:tcPr>
            <w:tcW w:w="1002" w:type="dxa"/>
            <w:vMerge w:val="restart"/>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项目资金（万元）</w:t>
            </w:r>
          </w:p>
        </w:tc>
        <w:tc>
          <w:tcPr>
            <w:tcW w:w="1267" w:type="dxa"/>
            <w:tcBorders>
              <w:top w:val="nil"/>
              <w:left w:val="nil"/>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127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年初预算数</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全年（调整）预算数</w:t>
            </w:r>
          </w:p>
        </w:tc>
        <w:tc>
          <w:tcPr>
            <w:tcW w:w="1842" w:type="dxa"/>
            <w:gridSpan w:val="4"/>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全年执行数</w:t>
            </w:r>
          </w:p>
        </w:tc>
        <w:tc>
          <w:tcPr>
            <w:tcW w:w="851"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执行率</w:t>
            </w:r>
          </w:p>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w:t>
            </w:r>
          </w:p>
        </w:tc>
        <w:tc>
          <w:tcPr>
            <w:tcW w:w="850"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执行率</w:t>
            </w:r>
          </w:p>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权重</w:t>
            </w:r>
          </w:p>
        </w:tc>
        <w:tc>
          <w:tcPr>
            <w:tcW w:w="851"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执行率得分</w:t>
            </w:r>
          </w:p>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（分）</w:t>
            </w:r>
          </w:p>
        </w:tc>
      </w:tr>
      <w:tr>
        <w:tblPrEx>
          <w:tblCellMar>
            <w:top w:w="0" w:type="dxa"/>
            <w:left w:w="108" w:type="dxa"/>
            <w:bottom w:w="0" w:type="dxa"/>
            <w:right w:w="108" w:type="dxa"/>
          </w:tblCellMar>
        </w:tblPrEx>
        <w:trPr>
          <w:cantSplit/>
          <w:trHeight w:val="601" w:hRule="atLeast"/>
        </w:trPr>
        <w:tc>
          <w:tcPr>
            <w:tcW w:w="1002" w:type="dxa"/>
            <w:vMerge w:val="continue"/>
            <w:tcBorders>
              <w:top w:val="nil"/>
              <w:left w:val="single" w:color="auto" w:sz="4" w:space="0"/>
              <w:bottom w:val="single" w:color="auto" w:sz="4" w:space="0"/>
              <w:right w:val="single" w:color="auto" w:sz="4" w:space="0"/>
            </w:tcBorders>
            <w:vAlign w:val="center"/>
          </w:tcPr>
          <w:p>
            <w:pPr>
              <w:rPr>
                <w:rFonts w:ascii="方正仿宋_GBK" w:hAnsi="Calibri" w:eastAsia="方正仿宋_GBK"/>
                <w:color w:val="000000"/>
                <w:sz w:val="18"/>
                <w:szCs w:val="18"/>
              </w:rPr>
            </w:pPr>
          </w:p>
        </w:tc>
        <w:tc>
          <w:tcPr>
            <w:tcW w:w="1267" w:type="dxa"/>
            <w:tcBorders>
              <w:top w:val="nil"/>
              <w:left w:val="nil"/>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年度总金额</w:t>
            </w:r>
          </w:p>
        </w:tc>
        <w:tc>
          <w:tcPr>
            <w:tcW w:w="127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394.67</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394.67</w:t>
            </w:r>
          </w:p>
        </w:tc>
        <w:tc>
          <w:tcPr>
            <w:tcW w:w="1842" w:type="dxa"/>
            <w:gridSpan w:val="4"/>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394.67</w:t>
            </w:r>
          </w:p>
        </w:tc>
        <w:tc>
          <w:tcPr>
            <w:tcW w:w="851"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850"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sz w:val="18"/>
                <w:szCs w:val="18"/>
              </w:rPr>
            </w:pPr>
            <w:r>
              <w:rPr>
                <w:rFonts w:hint="eastAsia" w:ascii="方正仿宋_GBK" w:eastAsia="方正仿宋_GBK"/>
                <w:sz w:val="18"/>
                <w:szCs w:val="18"/>
              </w:rPr>
              <w:t>10　</w:t>
            </w:r>
          </w:p>
        </w:tc>
        <w:tc>
          <w:tcPr>
            <w:tcW w:w="851"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　</w:t>
            </w:r>
          </w:p>
        </w:tc>
      </w:tr>
      <w:tr>
        <w:tblPrEx>
          <w:tblCellMar>
            <w:top w:w="0" w:type="dxa"/>
            <w:left w:w="108" w:type="dxa"/>
            <w:bottom w:w="0" w:type="dxa"/>
            <w:right w:w="108" w:type="dxa"/>
          </w:tblCellMar>
        </w:tblPrEx>
        <w:trPr>
          <w:cantSplit/>
          <w:trHeight w:val="601" w:hRule="atLeast"/>
        </w:trPr>
        <w:tc>
          <w:tcPr>
            <w:tcW w:w="1002" w:type="dxa"/>
            <w:vMerge w:val="continue"/>
            <w:tcBorders>
              <w:top w:val="nil"/>
              <w:left w:val="single" w:color="auto" w:sz="4" w:space="0"/>
              <w:bottom w:val="single" w:color="auto" w:sz="4" w:space="0"/>
              <w:right w:val="single" w:color="auto" w:sz="4" w:space="0"/>
            </w:tcBorders>
            <w:vAlign w:val="center"/>
          </w:tcPr>
          <w:p>
            <w:pPr>
              <w:rPr>
                <w:rFonts w:ascii="方正仿宋_GBK" w:hAnsi="Calibri" w:eastAsia="方正仿宋_GBK"/>
                <w:color w:val="000000"/>
                <w:sz w:val="18"/>
                <w:szCs w:val="18"/>
              </w:rPr>
            </w:pPr>
          </w:p>
        </w:tc>
        <w:tc>
          <w:tcPr>
            <w:tcW w:w="1267" w:type="dxa"/>
            <w:tcBorders>
              <w:top w:val="nil"/>
              <w:left w:val="nil"/>
              <w:bottom w:val="single" w:color="auto" w:sz="4" w:space="0"/>
              <w:right w:val="nil"/>
            </w:tcBorders>
            <w:shd w:val="clear" w:color="auto" w:fill="auto"/>
            <w:vAlign w:val="center"/>
          </w:tcPr>
          <w:p>
            <w:pPr>
              <w:wordWrap w:val="0"/>
              <w:autoSpaceDN w:val="0"/>
              <w:jc w:val="right"/>
              <w:rPr>
                <w:rFonts w:ascii="方正仿宋_GBK" w:hAnsi="Calibri" w:eastAsia="方正仿宋_GBK"/>
                <w:color w:val="000000"/>
                <w:sz w:val="18"/>
                <w:szCs w:val="18"/>
              </w:rPr>
            </w:pPr>
            <w:r>
              <w:rPr>
                <w:rFonts w:hint="eastAsia" w:ascii="方正仿宋_GBK" w:eastAsia="方正仿宋_GBK"/>
                <w:color w:val="000000"/>
                <w:sz w:val="18"/>
                <w:szCs w:val="18"/>
              </w:rPr>
              <w:t>其中：区级支出</w:t>
            </w:r>
          </w:p>
        </w:tc>
        <w:tc>
          <w:tcPr>
            <w:tcW w:w="127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0</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0</w:t>
            </w:r>
          </w:p>
        </w:tc>
        <w:tc>
          <w:tcPr>
            <w:tcW w:w="1842" w:type="dxa"/>
            <w:gridSpan w:val="4"/>
            <w:tcBorders>
              <w:top w:val="single" w:color="auto" w:sz="4" w:space="0"/>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0</w:t>
            </w:r>
          </w:p>
        </w:tc>
        <w:tc>
          <w:tcPr>
            <w:tcW w:w="851"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0</w:t>
            </w:r>
          </w:p>
        </w:tc>
        <w:tc>
          <w:tcPr>
            <w:tcW w:w="850"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p>
        </w:tc>
        <w:tc>
          <w:tcPr>
            <w:tcW w:w="851"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r>
      <w:tr>
        <w:tblPrEx>
          <w:tblCellMar>
            <w:top w:w="0" w:type="dxa"/>
            <w:left w:w="108" w:type="dxa"/>
            <w:bottom w:w="0" w:type="dxa"/>
            <w:right w:w="108" w:type="dxa"/>
          </w:tblCellMar>
        </w:tblPrEx>
        <w:trPr>
          <w:cantSplit/>
          <w:trHeight w:val="601" w:hRule="atLeast"/>
        </w:trPr>
        <w:tc>
          <w:tcPr>
            <w:tcW w:w="1002" w:type="dxa"/>
            <w:vMerge w:val="restart"/>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当年绩效目标</w:t>
            </w:r>
          </w:p>
        </w:tc>
        <w:tc>
          <w:tcPr>
            <w:tcW w:w="2543" w:type="dxa"/>
            <w:gridSpan w:val="4"/>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年初绩效目标</w:t>
            </w:r>
          </w:p>
        </w:tc>
        <w:tc>
          <w:tcPr>
            <w:tcW w:w="3118" w:type="dxa"/>
            <w:gridSpan w:val="6"/>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全年（调整）绩效目标</w:t>
            </w:r>
          </w:p>
        </w:tc>
        <w:tc>
          <w:tcPr>
            <w:tcW w:w="2552" w:type="dxa"/>
            <w:gridSpan w:val="3"/>
            <w:tcBorders>
              <w:top w:val="single" w:color="auto" w:sz="4" w:space="0"/>
              <w:left w:val="nil"/>
              <w:bottom w:val="single" w:color="auto" w:sz="4" w:space="0"/>
              <w:right w:val="single" w:color="000000"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全年目标实际完成情况</w:t>
            </w:r>
          </w:p>
        </w:tc>
      </w:tr>
      <w:tr>
        <w:tblPrEx>
          <w:tblCellMar>
            <w:top w:w="0" w:type="dxa"/>
            <w:left w:w="108" w:type="dxa"/>
            <w:bottom w:w="0" w:type="dxa"/>
            <w:right w:w="108" w:type="dxa"/>
          </w:tblCellMar>
        </w:tblPrEx>
        <w:trPr>
          <w:cantSplit/>
          <w:trHeight w:val="1352" w:hRule="atLeast"/>
        </w:trPr>
        <w:tc>
          <w:tcPr>
            <w:tcW w:w="1002" w:type="dxa"/>
            <w:vMerge w:val="continue"/>
            <w:tcBorders>
              <w:top w:val="nil"/>
              <w:left w:val="single" w:color="auto" w:sz="4" w:space="0"/>
              <w:bottom w:val="single" w:color="auto" w:sz="4" w:space="0"/>
              <w:right w:val="single" w:color="auto" w:sz="4" w:space="0"/>
            </w:tcBorders>
            <w:vAlign w:val="center"/>
          </w:tcPr>
          <w:p>
            <w:pPr>
              <w:rPr>
                <w:rFonts w:ascii="方正仿宋_GBK" w:hAnsi="Calibri" w:eastAsia="方正仿宋_GBK"/>
                <w:color w:val="000000"/>
                <w:sz w:val="18"/>
                <w:szCs w:val="18"/>
              </w:rPr>
            </w:pPr>
          </w:p>
        </w:tc>
        <w:tc>
          <w:tcPr>
            <w:tcW w:w="2543" w:type="dxa"/>
            <w:gridSpan w:val="4"/>
            <w:tcBorders>
              <w:top w:val="single" w:color="auto" w:sz="4" w:space="0"/>
              <w:left w:val="nil"/>
              <w:bottom w:val="single" w:color="auto" w:sz="4" w:space="0"/>
              <w:right w:val="single" w:color="000000" w:sz="4" w:space="0"/>
            </w:tcBorders>
            <w:shd w:val="clear" w:color="auto" w:fill="auto"/>
            <w:vAlign w:val="center"/>
          </w:tcPr>
          <w:p>
            <w:pPr>
              <w:autoSpaceDN w:val="0"/>
              <w:rPr>
                <w:rFonts w:ascii="方正仿宋_GBK" w:hAnsi="Calibri" w:eastAsia="方正仿宋_GBK"/>
                <w:color w:val="000000"/>
                <w:sz w:val="18"/>
                <w:szCs w:val="18"/>
              </w:rPr>
            </w:pPr>
            <w:r>
              <w:rPr>
                <w:rFonts w:hint="eastAsia" w:ascii="方正仿宋_GBK" w:eastAsia="方正仿宋_GBK"/>
                <w:color w:val="000000"/>
                <w:sz w:val="18"/>
                <w:szCs w:val="18"/>
              </w:rPr>
              <w:t xml:space="preserve">   享受民政优抚待遇人数189人，符合条件享受待遇的民政对象覆盖率达到100%。</w:t>
            </w:r>
          </w:p>
        </w:tc>
        <w:tc>
          <w:tcPr>
            <w:tcW w:w="3118" w:type="dxa"/>
            <w:gridSpan w:val="6"/>
            <w:tcBorders>
              <w:top w:val="single" w:color="auto" w:sz="4" w:space="0"/>
              <w:left w:val="nil"/>
              <w:bottom w:val="single" w:color="auto" w:sz="4" w:space="0"/>
              <w:right w:val="single" w:color="000000" w:sz="4" w:space="0"/>
            </w:tcBorders>
            <w:shd w:val="clear" w:color="auto" w:fill="auto"/>
            <w:vAlign w:val="center"/>
          </w:tcPr>
          <w:p>
            <w:pPr>
              <w:autoSpaceDN w:val="0"/>
              <w:rPr>
                <w:rFonts w:ascii="方正仿宋_GBK" w:hAnsi="Calibri" w:eastAsia="方正仿宋_GBK"/>
                <w:color w:val="000000"/>
                <w:sz w:val="18"/>
                <w:szCs w:val="18"/>
              </w:rPr>
            </w:pPr>
            <w:r>
              <w:rPr>
                <w:rFonts w:hint="eastAsia" w:ascii="方正仿宋_GBK" w:eastAsia="方正仿宋_GBK"/>
                <w:color w:val="000000"/>
                <w:sz w:val="18"/>
                <w:szCs w:val="18"/>
              </w:rPr>
              <w:t xml:space="preserve">   享受民政优抚待遇人数189人，符合条件享受待遇的民政对象覆盖率达到100%。</w:t>
            </w:r>
          </w:p>
        </w:tc>
        <w:tc>
          <w:tcPr>
            <w:tcW w:w="2552" w:type="dxa"/>
            <w:gridSpan w:val="3"/>
            <w:tcBorders>
              <w:top w:val="single" w:color="auto" w:sz="4" w:space="0"/>
              <w:left w:val="nil"/>
              <w:bottom w:val="single" w:color="auto" w:sz="4" w:space="0"/>
              <w:right w:val="single" w:color="000000" w:sz="4" w:space="0"/>
            </w:tcBorders>
            <w:shd w:val="clear" w:color="auto" w:fill="auto"/>
            <w:vAlign w:val="center"/>
          </w:tcPr>
          <w:p>
            <w:pPr>
              <w:autoSpaceDN w:val="0"/>
              <w:rPr>
                <w:rFonts w:ascii="方正仿宋_GBK" w:hAnsi="Calibri" w:eastAsia="方正仿宋_GBK"/>
                <w:color w:val="000000"/>
                <w:sz w:val="18"/>
                <w:szCs w:val="18"/>
              </w:rPr>
            </w:pPr>
            <w:r>
              <w:rPr>
                <w:rFonts w:hint="eastAsia" w:ascii="方正仿宋_GBK" w:eastAsia="方正仿宋_GBK"/>
                <w:color w:val="000000"/>
                <w:sz w:val="18"/>
                <w:szCs w:val="18"/>
              </w:rPr>
              <w:t xml:space="preserve"> 享受民政优抚待遇人数189人，符合条件享受待遇的民政对象覆盖率达到100%。</w:t>
            </w:r>
          </w:p>
        </w:tc>
      </w:tr>
      <w:tr>
        <w:tblPrEx>
          <w:tblCellMar>
            <w:top w:w="0" w:type="dxa"/>
            <w:left w:w="108" w:type="dxa"/>
            <w:bottom w:w="0" w:type="dxa"/>
            <w:right w:w="108" w:type="dxa"/>
          </w:tblCellMar>
        </w:tblPrEx>
        <w:trPr>
          <w:cantSplit/>
          <w:trHeight w:val="601" w:hRule="atLeast"/>
        </w:trPr>
        <w:tc>
          <w:tcPr>
            <w:tcW w:w="1002"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绩效指标</w:t>
            </w:r>
          </w:p>
        </w:tc>
        <w:tc>
          <w:tcPr>
            <w:tcW w:w="1409" w:type="dxa"/>
            <w:gridSpan w:val="2"/>
            <w:tcBorders>
              <w:top w:val="nil"/>
              <w:left w:val="nil"/>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指标名称</w:t>
            </w:r>
          </w:p>
        </w:tc>
        <w:tc>
          <w:tcPr>
            <w:tcW w:w="425"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计量</w:t>
            </w:r>
          </w:p>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单位</w:t>
            </w:r>
          </w:p>
        </w:tc>
        <w:tc>
          <w:tcPr>
            <w:tcW w:w="709"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指标</w:t>
            </w:r>
          </w:p>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性质</w:t>
            </w:r>
          </w:p>
        </w:tc>
        <w:tc>
          <w:tcPr>
            <w:tcW w:w="831"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年初</w:t>
            </w:r>
          </w:p>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指标值</w:t>
            </w:r>
          </w:p>
        </w:tc>
        <w:tc>
          <w:tcPr>
            <w:tcW w:w="586" w:type="dxa"/>
            <w:gridSpan w:val="2"/>
            <w:tcBorders>
              <w:top w:val="nil"/>
              <w:left w:val="nil"/>
              <w:bottom w:val="single" w:color="auto" w:sz="4" w:space="0"/>
              <w:right w:val="single" w:color="auto" w:sz="4" w:space="0"/>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调整</w:t>
            </w:r>
          </w:p>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指标值</w:t>
            </w:r>
          </w:p>
        </w:tc>
        <w:tc>
          <w:tcPr>
            <w:tcW w:w="851" w:type="dxa"/>
            <w:gridSpan w:val="2"/>
            <w:tcBorders>
              <w:top w:val="nil"/>
              <w:left w:val="nil"/>
              <w:bottom w:val="single" w:color="auto" w:sz="4" w:space="0"/>
              <w:right w:val="single" w:color="auto" w:sz="4" w:space="0"/>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全年</w:t>
            </w:r>
          </w:p>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完成值</w:t>
            </w:r>
          </w:p>
        </w:tc>
        <w:tc>
          <w:tcPr>
            <w:tcW w:w="850"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得分系数</w:t>
            </w:r>
          </w:p>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w:t>
            </w:r>
          </w:p>
        </w:tc>
        <w:tc>
          <w:tcPr>
            <w:tcW w:w="851"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指标权重</w:t>
            </w:r>
          </w:p>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（分）</w:t>
            </w:r>
          </w:p>
        </w:tc>
        <w:tc>
          <w:tcPr>
            <w:tcW w:w="850"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指标得分</w:t>
            </w:r>
          </w:p>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（分）</w:t>
            </w:r>
          </w:p>
        </w:tc>
        <w:tc>
          <w:tcPr>
            <w:tcW w:w="851" w:type="dxa"/>
            <w:tcBorders>
              <w:top w:val="nil"/>
              <w:left w:val="nil"/>
              <w:bottom w:val="single" w:color="auto" w:sz="4" w:space="0"/>
              <w:right w:val="single" w:color="auto" w:sz="4" w:space="0"/>
            </w:tcBorders>
            <w:shd w:val="clear" w:color="auto" w:fill="auto"/>
            <w:vAlign w:val="center"/>
          </w:tcPr>
          <w:p>
            <w:pPr>
              <w:autoSpaceDN w:val="0"/>
              <w:jc w:val="center"/>
              <w:rPr>
                <w:rFonts w:ascii="方正仿宋_GBK" w:eastAsia="方正仿宋_GBK"/>
                <w:color w:val="000000"/>
                <w:sz w:val="18"/>
                <w:szCs w:val="18"/>
              </w:rPr>
            </w:pPr>
            <w:r>
              <w:rPr>
                <w:rFonts w:hint="eastAsia" w:ascii="方正仿宋_GBK" w:eastAsia="方正仿宋_GBK"/>
                <w:color w:val="000000"/>
                <w:sz w:val="18"/>
                <w:szCs w:val="18"/>
              </w:rPr>
              <w:t>是否核心</w:t>
            </w:r>
          </w:p>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指标</w:t>
            </w:r>
          </w:p>
        </w:tc>
      </w:tr>
      <w:tr>
        <w:tblPrEx>
          <w:tblCellMar>
            <w:top w:w="0" w:type="dxa"/>
            <w:left w:w="108" w:type="dxa"/>
            <w:bottom w:w="0" w:type="dxa"/>
            <w:right w:w="108" w:type="dxa"/>
          </w:tblCellMar>
        </w:tblPrEx>
        <w:trPr>
          <w:cantSplit/>
          <w:trHeight w:val="523" w:hRule="atLeast"/>
        </w:trPr>
        <w:tc>
          <w:tcPr>
            <w:tcW w:w="1002" w:type="dxa"/>
            <w:vMerge w:val="continue"/>
            <w:tcBorders>
              <w:top w:val="nil"/>
              <w:left w:val="single" w:color="auto" w:sz="4" w:space="0"/>
              <w:bottom w:val="single" w:color="auto" w:sz="4" w:space="0"/>
              <w:right w:val="single" w:color="auto" w:sz="4" w:space="0"/>
            </w:tcBorders>
            <w:vAlign w:val="center"/>
          </w:tcPr>
          <w:p>
            <w:pPr>
              <w:rPr>
                <w:rFonts w:ascii="方正仿宋_GBK" w:hAnsi="Calibri" w:eastAsia="方正仿宋_GBK"/>
                <w:color w:val="000000"/>
                <w:sz w:val="18"/>
                <w:szCs w:val="18"/>
              </w:rPr>
            </w:pPr>
          </w:p>
        </w:tc>
        <w:tc>
          <w:tcPr>
            <w:tcW w:w="1409" w:type="dxa"/>
            <w:gridSpan w:val="2"/>
            <w:tcBorders>
              <w:top w:val="nil"/>
              <w:left w:val="nil"/>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优抚对象人数</w:t>
            </w:r>
          </w:p>
        </w:tc>
        <w:tc>
          <w:tcPr>
            <w:tcW w:w="425"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人　</w:t>
            </w:r>
          </w:p>
        </w:tc>
        <w:tc>
          <w:tcPr>
            <w:tcW w:w="709"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831"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189　</w:t>
            </w:r>
          </w:p>
        </w:tc>
        <w:tc>
          <w:tcPr>
            <w:tcW w:w="586" w:type="dxa"/>
            <w:gridSpan w:val="2"/>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851" w:type="dxa"/>
            <w:gridSpan w:val="2"/>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189　</w:t>
            </w:r>
          </w:p>
        </w:tc>
        <w:tc>
          <w:tcPr>
            <w:tcW w:w="850"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851"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20</w:t>
            </w:r>
          </w:p>
        </w:tc>
        <w:tc>
          <w:tcPr>
            <w:tcW w:w="850"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20</w:t>
            </w:r>
          </w:p>
        </w:tc>
        <w:tc>
          <w:tcPr>
            <w:tcW w:w="851"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是　</w:t>
            </w:r>
          </w:p>
        </w:tc>
      </w:tr>
      <w:tr>
        <w:tblPrEx>
          <w:tblCellMar>
            <w:top w:w="0" w:type="dxa"/>
            <w:left w:w="108" w:type="dxa"/>
            <w:bottom w:w="0" w:type="dxa"/>
            <w:right w:w="108" w:type="dxa"/>
          </w:tblCellMar>
        </w:tblPrEx>
        <w:trPr>
          <w:cantSplit/>
          <w:trHeight w:val="523" w:hRule="atLeast"/>
        </w:trPr>
        <w:tc>
          <w:tcPr>
            <w:tcW w:w="1002" w:type="dxa"/>
            <w:vMerge w:val="continue"/>
            <w:tcBorders>
              <w:top w:val="nil"/>
              <w:left w:val="single" w:color="auto" w:sz="4" w:space="0"/>
              <w:bottom w:val="single" w:color="auto" w:sz="4" w:space="0"/>
              <w:right w:val="single" w:color="auto" w:sz="4" w:space="0"/>
            </w:tcBorders>
            <w:vAlign w:val="center"/>
          </w:tcPr>
          <w:p>
            <w:pPr>
              <w:rPr>
                <w:rFonts w:ascii="方正仿宋_GBK" w:hAnsi="Calibri" w:eastAsia="方正仿宋_GBK"/>
                <w:color w:val="000000"/>
                <w:sz w:val="18"/>
                <w:szCs w:val="18"/>
              </w:rPr>
            </w:pPr>
          </w:p>
        </w:tc>
        <w:tc>
          <w:tcPr>
            <w:tcW w:w="1409" w:type="dxa"/>
            <w:gridSpan w:val="2"/>
            <w:tcBorders>
              <w:top w:val="nil"/>
              <w:left w:val="nil"/>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优抚对象医疗补助人数</w:t>
            </w:r>
          </w:p>
        </w:tc>
        <w:tc>
          <w:tcPr>
            <w:tcW w:w="425"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人　</w:t>
            </w:r>
          </w:p>
        </w:tc>
        <w:tc>
          <w:tcPr>
            <w:tcW w:w="709"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831"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106　</w:t>
            </w:r>
          </w:p>
        </w:tc>
        <w:tc>
          <w:tcPr>
            <w:tcW w:w="586" w:type="dxa"/>
            <w:gridSpan w:val="2"/>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851" w:type="dxa"/>
            <w:gridSpan w:val="2"/>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106</w:t>
            </w:r>
          </w:p>
        </w:tc>
        <w:tc>
          <w:tcPr>
            <w:tcW w:w="850"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w:t>
            </w:r>
          </w:p>
        </w:tc>
        <w:tc>
          <w:tcPr>
            <w:tcW w:w="851"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20　</w:t>
            </w:r>
          </w:p>
        </w:tc>
        <w:tc>
          <w:tcPr>
            <w:tcW w:w="850"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20　</w:t>
            </w:r>
          </w:p>
        </w:tc>
        <w:tc>
          <w:tcPr>
            <w:tcW w:w="851"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是　</w:t>
            </w:r>
          </w:p>
        </w:tc>
      </w:tr>
      <w:tr>
        <w:tblPrEx>
          <w:tblCellMar>
            <w:top w:w="0" w:type="dxa"/>
            <w:left w:w="108" w:type="dxa"/>
            <w:bottom w:w="0" w:type="dxa"/>
            <w:right w:w="108" w:type="dxa"/>
          </w:tblCellMar>
        </w:tblPrEx>
        <w:trPr>
          <w:cantSplit/>
          <w:trHeight w:val="523" w:hRule="atLeast"/>
        </w:trPr>
        <w:tc>
          <w:tcPr>
            <w:tcW w:w="1002" w:type="dxa"/>
            <w:vMerge w:val="continue"/>
            <w:tcBorders>
              <w:top w:val="nil"/>
              <w:left w:val="single" w:color="auto" w:sz="4" w:space="0"/>
              <w:bottom w:val="single" w:color="auto" w:sz="4" w:space="0"/>
              <w:right w:val="single" w:color="auto" w:sz="4" w:space="0"/>
            </w:tcBorders>
            <w:vAlign w:val="center"/>
          </w:tcPr>
          <w:p>
            <w:pPr>
              <w:rPr>
                <w:rFonts w:ascii="方正仿宋_GBK" w:hAnsi="Calibri" w:eastAsia="方正仿宋_GBK"/>
                <w:color w:val="000000"/>
                <w:sz w:val="18"/>
                <w:szCs w:val="18"/>
              </w:rPr>
            </w:pPr>
          </w:p>
        </w:tc>
        <w:tc>
          <w:tcPr>
            <w:tcW w:w="1409" w:type="dxa"/>
            <w:gridSpan w:val="2"/>
            <w:tcBorders>
              <w:top w:val="nil"/>
              <w:left w:val="nil"/>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符合条件享受待遇的民政对象覆盖率</w:t>
            </w:r>
          </w:p>
        </w:tc>
        <w:tc>
          <w:tcPr>
            <w:tcW w:w="425"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709"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831"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586" w:type="dxa"/>
            <w:gridSpan w:val="2"/>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851" w:type="dxa"/>
            <w:gridSpan w:val="2"/>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850"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851"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15</w:t>
            </w:r>
          </w:p>
        </w:tc>
        <w:tc>
          <w:tcPr>
            <w:tcW w:w="850"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15　</w:t>
            </w:r>
          </w:p>
        </w:tc>
        <w:tc>
          <w:tcPr>
            <w:tcW w:w="851"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否</w:t>
            </w:r>
          </w:p>
        </w:tc>
      </w:tr>
      <w:tr>
        <w:tblPrEx>
          <w:tblCellMar>
            <w:top w:w="0" w:type="dxa"/>
            <w:left w:w="108" w:type="dxa"/>
            <w:bottom w:w="0" w:type="dxa"/>
            <w:right w:w="108" w:type="dxa"/>
          </w:tblCellMar>
        </w:tblPrEx>
        <w:trPr>
          <w:cantSplit/>
          <w:trHeight w:val="523" w:hRule="atLeast"/>
        </w:trPr>
        <w:tc>
          <w:tcPr>
            <w:tcW w:w="1002" w:type="dxa"/>
            <w:vMerge w:val="continue"/>
            <w:tcBorders>
              <w:top w:val="nil"/>
              <w:left w:val="single" w:color="auto" w:sz="4" w:space="0"/>
              <w:bottom w:val="single" w:color="auto" w:sz="4" w:space="0"/>
              <w:right w:val="single" w:color="auto" w:sz="4" w:space="0"/>
            </w:tcBorders>
            <w:vAlign w:val="center"/>
          </w:tcPr>
          <w:p>
            <w:pPr>
              <w:rPr>
                <w:rFonts w:ascii="方正仿宋_GBK" w:hAnsi="Calibri" w:eastAsia="方正仿宋_GBK"/>
                <w:color w:val="000000"/>
                <w:sz w:val="18"/>
                <w:szCs w:val="18"/>
              </w:rPr>
            </w:pPr>
          </w:p>
        </w:tc>
        <w:tc>
          <w:tcPr>
            <w:tcW w:w="1409" w:type="dxa"/>
            <w:gridSpan w:val="2"/>
            <w:tcBorders>
              <w:top w:val="nil"/>
              <w:left w:val="nil"/>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政策知晓率　</w:t>
            </w:r>
          </w:p>
        </w:tc>
        <w:tc>
          <w:tcPr>
            <w:tcW w:w="425"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709"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831"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　</w:t>
            </w:r>
          </w:p>
        </w:tc>
        <w:tc>
          <w:tcPr>
            <w:tcW w:w="586" w:type="dxa"/>
            <w:gridSpan w:val="2"/>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851" w:type="dxa"/>
            <w:gridSpan w:val="2"/>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w:t>
            </w:r>
          </w:p>
        </w:tc>
        <w:tc>
          <w:tcPr>
            <w:tcW w:w="850"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w:t>
            </w:r>
          </w:p>
        </w:tc>
        <w:tc>
          <w:tcPr>
            <w:tcW w:w="851"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15</w:t>
            </w:r>
          </w:p>
        </w:tc>
        <w:tc>
          <w:tcPr>
            <w:tcW w:w="850"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15　</w:t>
            </w:r>
          </w:p>
        </w:tc>
        <w:tc>
          <w:tcPr>
            <w:tcW w:w="851"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否　</w:t>
            </w:r>
          </w:p>
        </w:tc>
      </w:tr>
      <w:tr>
        <w:tblPrEx>
          <w:tblCellMar>
            <w:top w:w="0" w:type="dxa"/>
            <w:left w:w="108" w:type="dxa"/>
            <w:bottom w:w="0" w:type="dxa"/>
            <w:right w:w="108" w:type="dxa"/>
          </w:tblCellMar>
        </w:tblPrEx>
        <w:trPr>
          <w:cantSplit/>
          <w:trHeight w:val="523" w:hRule="atLeast"/>
        </w:trPr>
        <w:tc>
          <w:tcPr>
            <w:tcW w:w="1002" w:type="dxa"/>
            <w:vMerge w:val="continue"/>
            <w:tcBorders>
              <w:top w:val="nil"/>
              <w:left w:val="single" w:color="auto" w:sz="4" w:space="0"/>
              <w:bottom w:val="single" w:color="auto" w:sz="4" w:space="0"/>
              <w:right w:val="single" w:color="auto" w:sz="4" w:space="0"/>
            </w:tcBorders>
            <w:vAlign w:val="center"/>
          </w:tcPr>
          <w:p>
            <w:pPr>
              <w:rPr>
                <w:rFonts w:ascii="方正仿宋_GBK" w:hAnsi="Calibri" w:eastAsia="方正仿宋_GBK"/>
                <w:color w:val="000000"/>
                <w:sz w:val="18"/>
                <w:szCs w:val="18"/>
              </w:rPr>
            </w:pPr>
          </w:p>
        </w:tc>
        <w:tc>
          <w:tcPr>
            <w:tcW w:w="1409" w:type="dxa"/>
            <w:gridSpan w:val="2"/>
            <w:tcBorders>
              <w:top w:val="nil"/>
              <w:left w:val="nil"/>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hAnsi="Calibri" w:eastAsia="方正仿宋_GBK"/>
                <w:color w:val="000000"/>
                <w:sz w:val="18"/>
                <w:szCs w:val="18"/>
              </w:rPr>
              <w:t>民政对象满意度</w:t>
            </w:r>
          </w:p>
        </w:tc>
        <w:tc>
          <w:tcPr>
            <w:tcW w:w="425"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709"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831"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90　</w:t>
            </w:r>
          </w:p>
        </w:tc>
        <w:tc>
          <w:tcPr>
            <w:tcW w:w="586" w:type="dxa"/>
            <w:gridSpan w:val="2"/>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　</w:t>
            </w:r>
          </w:p>
        </w:tc>
        <w:tc>
          <w:tcPr>
            <w:tcW w:w="851" w:type="dxa"/>
            <w:gridSpan w:val="2"/>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90　</w:t>
            </w:r>
          </w:p>
        </w:tc>
        <w:tc>
          <w:tcPr>
            <w:tcW w:w="850"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100</w:t>
            </w:r>
          </w:p>
        </w:tc>
        <w:tc>
          <w:tcPr>
            <w:tcW w:w="851"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20　</w:t>
            </w:r>
          </w:p>
        </w:tc>
        <w:tc>
          <w:tcPr>
            <w:tcW w:w="850" w:type="dxa"/>
            <w:tcBorders>
              <w:top w:val="nil"/>
              <w:left w:val="single" w:color="auto" w:sz="4" w:space="0"/>
              <w:bottom w:val="single" w:color="auto" w:sz="4" w:space="0"/>
              <w:right w:val="nil"/>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20　</w:t>
            </w:r>
          </w:p>
        </w:tc>
        <w:tc>
          <w:tcPr>
            <w:tcW w:w="851"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否　</w:t>
            </w:r>
          </w:p>
        </w:tc>
      </w:tr>
      <w:tr>
        <w:tblPrEx>
          <w:tblCellMar>
            <w:top w:w="0" w:type="dxa"/>
            <w:left w:w="108" w:type="dxa"/>
            <w:bottom w:w="0" w:type="dxa"/>
            <w:right w:w="108" w:type="dxa"/>
          </w:tblCellMar>
        </w:tblPrEx>
        <w:trPr>
          <w:trHeight w:val="755" w:hRule="atLeast"/>
        </w:trPr>
        <w:tc>
          <w:tcPr>
            <w:tcW w:w="1002" w:type="dxa"/>
            <w:tcBorders>
              <w:top w:val="nil"/>
              <w:left w:val="single" w:color="auto" w:sz="4" w:space="0"/>
              <w:bottom w:val="single" w:color="auto" w:sz="4" w:space="0"/>
              <w:right w:val="single" w:color="auto" w:sz="4" w:space="0"/>
            </w:tcBorders>
            <w:shd w:val="clear" w:color="auto" w:fill="auto"/>
            <w:vAlign w:val="center"/>
          </w:tcPr>
          <w:p>
            <w:pPr>
              <w:autoSpaceDN w:val="0"/>
              <w:jc w:val="center"/>
              <w:rPr>
                <w:rFonts w:ascii="方正仿宋_GBK" w:hAnsi="Calibri" w:eastAsia="方正仿宋_GBK"/>
                <w:color w:val="000000"/>
                <w:sz w:val="18"/>
                <w:szCs w:val="18"/>
              </w:rPr>
            </w:pPr>
            <w:r>
              <w:rPr>
                <w:rFonts w:hint="eastAsia" w:ascii="方正仿宋_GBK" w:eastAsia="方正仿宋_GBK"/>
                <w:color w:val="000000"/>
                <w:sz w:val="18"/>
                <w:szCs w:val="18"/>
              </w:rPr>
              <w:t>说明</w:t>
            </w:r>
          </w:p>
        </w:tc>
        <w:tc>
          <w:tcPr>
            <w:tcW w:w="8213" w:type="dxa"/>
            <w:gridSpan w:val="13"/>
            <w:tcBorders>
              <w:top w:val="single" w:color="auto" w:sz="4" w:space="0"/>
              <w:left w:val="nil"/>
              <w:bottom w:val="single" w:color="auto" w:sz="4" w:space="0"/>
              <w:right w:val="single" w:color="auto" w:sz="4" w:space="0"/>
            </w:tcBorders>
            <w:shd w:val="clear" w:color="auto" w:fill="auto"/>
            <w:vAlign w:val="center"/>
          </w:tcPr>
          <w:p>
            <w:pPr>
              <w:autoSpaceDN w:val="0"/>
              <w:rPr>
                <w:rFonts w:ascii="方正仿宋_GBK" w:hAnsi="Calibri" w:eastAsia="方正仿宋_GBK"/>
                <w:color w:val="000000"/>
                <w:sz w:val="18"/>
                <w:szCs w:val="18"/>
              </w:rPr>
            </w:pPr>
            <w:r>
              <w:rPr>
                <w:rFonts w:hint="eastAsia" w:ascii="方正仿宋_GBK" w:eastAsia="方正仿宋_GBK"/>
                <w:color w:val="000000"/>
                <w:sz w:val="18"/>
                <w:szCs w:val="18"/>
              </w:rPr>
              <w:t>　</w:t>
            </w:r>
          </w:p>
        </w:tc>
      </w:tr>
      <w:tr>
        <w:tblPrEx>
          <w:tblCellMar>
            <w:top w:w="0" w:type="dxa"/>
            <w:left w:w="108" w:type="dxa"/>
            <w:bottom w:w="0" w:type="dxa"/>
            <w:right w:w="108" w:type="dxa"/>
          </w:tblCellMar>
        </w:tblPrEx>
        <w:trPr>
          <w:trHeight w:val="601" w:hRule="atLeast"/>
        </w:trPr>
        <w:tc>
          <w:tcPr>
            <w:tcW w:w="9215" w:type="dxa"/>
            <w:gridSpan w:val="14"/>
            <w:tcBorders>
              <w:top w:val="nil"/>
              <w:left w:val="nil"/>
              <w:bottom w:val="nil"/>
              <w:right w:val="nil"/>
            </w:tcBorders>
            <w:shd w:val="clear" w:color="auto" w:fill="auto"/>
            <w:vAlign w:val="center"/>
          </w:tcPr>
          <w:p>
            <w:pPr>
              <w:autoSpaceDN w:val="0"/>
              <w:jc w:val="center"/>
              <w:rPr>
                <w:rFonts w:ascii="方正小标宋_GBK" w:hAnsi="Calibri" w:eastAsia="方正小标宋_GBK"/>
                <w:color w:val="000000"/>
                <w:sz w:val="36"/>
                <w:szCs w:val="36"/>
              </w:rPr>
            </w:pPr>
          </w:p>
        </w:tc>
      </w:tr>
    </w:tbl>
    <w:p>
      <w:pPr>
        <w:pStyle w:val="13"/>
        <w:tabs>
          <w:tab w:val="center" w:pos="4153"/>
          <w:tab w:val="left" w:pos="7275"/>
        </w:tabs>
        <w:spacing w:line="579" w:lineRule="exact"/>
        <w:ind w:firstLine="640"/>
        <w:rPr>
          <w:rFonts w:hint="eastAsia" w:ascii="方正楷体_GBK" w:hAnsi="方正楷体_GBK" w:eastAsia="方正楷体_GBK" w:cs="方正楷体_GBK"/>
          <w:bCs/>
          <w:kern w:val="0"/>
          <w:sz w:val="32"/>
          <w:szCs w:val="32"/>
        </w:rPr>
      </w:pPr>
      <w:r>
        <w:rPr>
          <w:rFonts w:hint="eastAsia" w:ascii="方正楷体_GBK" w:hAnsi="方正楷体_GBK" w:eastAsia="方正楷体_GBK" w:cs="方正楷体_GBK"/>
          <w:bCs/>
          <w:kern w:val="0"/>
          <w:sz w:val="32"/>
          <w:szCs w:val="32"/>
        </w:rPr>
        <w:t>（三）重点绩效评价结果</w:t>
      </w:r>
    </w:p>
    <w:p>
      <w:pPr>
        <w:autoSpaceDN w:val="0"/>
        <w:spacing w:line="579" w:lineRule="exact"/>
        <w:ind w:firstLine="627" w:firstLineChars="196"/>
        <w:rPr>
          <w:rFonts w:ascii="方正仿宋_GBK" w:hAnsi="方正仿宋_GBK" w:eastAsia="方正仿宋_GBK" w:cs="方正仿宋_GBK"/>
          <w:sz w:val="32"/>
          <w:szCs w:val="32"/>
        </w:rPr>
      </w:pPr>
      <w:r>
        <w:rPr>
          <w:rFonts w:ascii="Times New Roman" w:hAnsi="Times New Roman" w:eastAsia="方正仿宋_GBK" w:cs="Times New Roman"/>
          <w:sz w:val="32"/>
          <w:szCs w:val="32"/>
        </w:rPr>
        <w:t>花园路街道办事处2020年度</w:t>
      </w:r>
      <w:r>
        <w:rPr>
          <w:rFonts w:hint="eastAsia" w:ascii="Times New Roman" w:hAnsi="Times New Roman" w:eastAsia="方正仿宋_GBK" w:cs="Times New Roman"/>
          <w:sz w:val="32"/>
          <w:szCs w:val="32"/>
          <w:lang w:eastAsia="zh-CN"/>
        </w:rPr>
        <w:t>对</w:t>
      </w:r>
      <w:r>
        <w:rPr>
          <w:rFonts w:ascii="Times New Roman" w:hAnsi="Times New Roman" w:eastAsia="方正仿宋_GBK" w:cs="Times New Roman"/>
          <w:sz w:val="32"/>
          <w:szCs w:val="32"/>
        </w:rPr>
        <w:t>城市维护清扫保洁环卫绿化1,227.23万元专项资金进行</w:t>
      </w:r>
      <w:r>
        <w:rPr>
          <w:rFonts w:hint="eastAsia" w:ascii="Times New Roman" w:hAnsi="Times New Roman" w:eastAsia="方正仿宋_GBK" w:cs="Times New Roman"/>
          <w:sz w:val="32"/>
          <w:szCs w:val="32"/>
          <w:lang w:eastAsia="zh-CN"/>
        </w:rPr>
        <w:t>重点</w:t>
      </w:r>
      <w:r>
        <w:rPr>
          <w:rFonts w:ascii="Times New Roman" w:hAnsi="Times New Roman" w:eastAsia="方正仿宋_GBK" w:cs="Times New Roman"/>
          <w:sz w:val="32"/>
          <w:szCs w:val="32"/>
        </w:rPr>
        <w:t>绩效评价。</w:t>
      </w:r>
      <w:r>
        <w:rPr>
          <w:rFonts w:hint="eastAsia" w:ascii="Times New Roman" w:hAnsi="Times New Roman" w:eastAsia="方正仿宋_GBK" w:cs="Times New Roman"/>
          <w:sz w:val="32"/>
          <w:szCs w:val="32"/>
          <w:lang w:eastAsia="zh-CN"/>
        </w:rPr>
        <w:t>得分</w:t>
      </w:r>
      <w:r>
        <w:rPr>
          <w:rFonts w:hint="eastAsia" w:ascii="Times New Roman" w:hAnsi="Times New Roman" w:eastAsia="方正仿宋_GBK" w:cs="Times New Roman"/>
          <w:sz w:val="32"/>
          <w:szCs w:val="32"/>
          <w:lang w:val="en-US" w:eastAsia="zh-CN"/>
        </w:rPr>
        <w:t>83.2，</w:t>
      </w:r>
      <w:r>
        <w:rPr>
          <w:rFonts w:ascii="Times New Roman" w:hAnsi="Times New Roman" w:eastAsia="方正仿宋_GBK" w:cs="Times New Roman"/>
          <w:sz w:val="32"/>
          <w:szCs w:val="32"/>
        </w:rPr>
        <w:t>评价等级</w:t>
      </w:r>
      <w:r>
        <w:rPr>
          <w:rFonts w:hint="eastAsia" w:ascii="Times New Roman" w:hAnsi="Times New Roman" w:eastAsia="方正仿宋_GBK" w:cs="Times New Roman"/>
          <w:sz w:val="32"/>
          <w:szCs w:val="32"/>
          <w:lang w:eastAsia="zh-CN"/>
        </w:rPr>
        <w:t>为</w:t>
      </w:r>
      <w:r>
        <w:rPr>
          <w:rFonts w:ascii="Times New Roman" w:hAnsi="Times New Roman" w:eastAsia="方正仿宋_GBK" w:cs="Times New Roman"/>
          <w:sz w:val="32"/>
          <w:szCs w:val="32"/>
        </w:rPr>
        <w:t>良</w:t>
      </w:r>
      <w:r>
        <w:rPr>
          <w:rFonts w:hint="eastAsia" w:ascii="Times New Roman" w:hAnsi="Times New Roman" w:eastAsia="方正仿宋_GBK" w:cs="Times New Roman"/>
          <w:sz w:val="32"/>
          <w:szCs w:val="32"/>
          <w:lang w:eastAsia="zh-CN"/>
        </w:rPr>
        <w:t>。此项目旨在</w:t>
      </w:r>
      <w:r>
        <w:rPr>
          <w:rFonts w:ascii="Times New Roman" w:hAnsi="Times New Roman" w:eastAsia="方正仿宋_GBK" w:cs="Times New Roman"/>
          <w:sz w:val="32"/>
          <w:szCs w:val="32"/>
        </w:rPr>
        <w:t>巩固文明城区、卫生城区创建成果，进一步提升环境卫生水平，改善城市居处环境，美化市容，为建设“三生三宜”城市打好基础，给广大群众创造一个干净、卫生、靓丽的城市环境。</w:t>
      </w:r>
      <w:r>
        <w:rPr>
          <w:rFonts w:hint="eastAsia" w:ascii="Times New Roman" w:hAnsi="Times New Roman" w:eastAsia="方正仿宋_GBK" w:cs="Times New Roman"/>
          <w:sz w:val="32"/>
          <w:szCs w:val="32"/>
          <w:lang w:eastAsia="zh-CN"/>
        </w:rPr>
        <w:t>此次重点绩效评价</w:t>
      </w:r>
      <w:r>
        <w:rPr>
          <w:rFonts w:hint="eastAsia" w:ascii="Times New Roman" w:hAnsi="Times New Roman" w:eastAsia="方正仿宋_GBK" w:cs="Times New Roman"/>
          <w:sz w:val="32"/>
          <w:szCs w:val="32"/>
        </w:rPr>
        <w:t>发现的主要问题</w:t>
      </w:r>
      <w:r>
        <w:rPr>
          <w:rFonts w:ascii="Times New Roman" w:hAnsi="Times New Roman" w:eastAsia="方正仿宋_GBK" w:cs="Times New Roman"/>
          <w:sz w:val="32"/>
          <w:szCs w:val="32"/>
        </w:rPr>
        <w:t>如下：</w:t>
      </w:r>
      <w:r>
        <w:rPr>
          <w:rFonts w:hint="eastAsia" w:ascii="Times New Roman" w:hAnsi="Times New Roman" w:eastAsia="方正仿宋_GBK" w:cs="Times New Roman"/>
          <w:sz w:val="32"/>
          <w:szCs w:val="32"/>
        </w:rPr>
        <w:t>1.项目管理制度体系不健全，项目管理不够规范。2.绩效目标细化程度不高。3.项目可持续性、社会效益有待加强。</w:t>
      </w:r>
      <w:r>
        <w:rPr>
          <w:rFonts w:hint="eastAsia" w:ascii="Times New Roman" w:hAnsi="Times New Roman" w:eastAsia="方正仿宋_GBK" w:cs="Times New Roman"/>
          <w:sz w:val="32"/>
          <w:szCs w:val="32"/>
          <w:lang w:eastAsia="zh-CN"/>
        </w:rPr>
        <w:t>下一步的打算：</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建立健全项目质量考核制度、专项资金管理办法等，成立项目管理领导小组，明确项目管理人员的职责，加强监督考核，提高项目管理规范性。</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加强对街道卫生方面的宣传，增加对社区的日常巡查次数，严格根据考核制度管理和考核清洁、保洁人员。</w:t>
      </w:r>
      <w:r>
        <w:rPr>
          <w:rFonts w:hint="eastAsia" w:ascii="Times New Roman" w:hAnsi="Times New Roman" w:eastAsia="方正仿宋_GBK" w:cs="Times New Roman"/>
          <w:sz w:val="32"/>
          <w:szCs w:val="32"/>
          <w:lang w:val="en-US" w:eastAsia="zh-CN"/>
        </w:rPr>
        <w:t>3、</w:t>
      </w:r>
      <w:bookmarkStart w:id="0" w:name="_GoBack"/>
      <w:bookmarkEnd w:id="0"/>
      <w:r>
        <w:rPr>
          <w:rFonts w:ascii="Times New Roman" w:hAnsi="Times New Roman" w:eastAsia="方正仿宋_GBK" w:cs="Times New Roman"/>
          <w:sz w:val="32"/>
          <w:szCs w:val="32"/>
        </w:rPr>
        <w:t>专门归纳项目绩效目标，明确项目实施所要达到的目标及效果，合理设置项目投入、过程、产出及效果等指标，指标设置要尽量具体、细化、量化，使项目评价更加合理准确。通过将任务和要求等内容指标化，提升绩效目标对工作开展的指导性，保证项目开展效果的实现。</w:t>
      </w:r>
    </w:p>
    <w:p>
      <w:pPr>
        <w:pStyle w:val="6"/>
        <w:shd w:val="clear" w:color="auto" w:fill="FFFFFF"/>
        <w:spacing w:before="0" w:beforeAutospacing="0" w:after="0" w:afterAutospacing="0" w:line="579" w:lineRule="exact"/>
        <w:ind w:firstLine="640" w:firstLineChars="200"/>
        <w:jc w:val="both"/>
        <w:outlineLvl w:val="0"/>
        <w:rPr>
          <w:rStyle w:val="9"/>
          <w:rFonts w:ascii="方正黑体_GBK" w:hAnsi="方正黑体_GBK" w:eastAsia="方正黑体_GBK" w:cs="方正黑体_GBK"/>
          <w:sz w:val="32"/>
          <w:szCs w:val="32"/>
        </w:rPr>
      </w:pPr>
      <w:r>
        <w:rPr>
          <w:rStyle w:val="9"/>
          <w:rFonts w:hint="eastAsia" w:ascii="方正黑体_GBK" w:hAnsi="方正黑体_GBK" w:eastAsia="方正黑体_GBK" w:cs="方正黑体_GBK"/>
          <w:b w:val="0"/>
          <w:sz w:val="32"/>
          <w:szCs w:val="32"/>
        </w:rPr>
        <w:t>六、专业名词解释</w:t>
      </w:r>
    </w:p>
    <w:p>
      <w:pPr>
        <w:pStyle w:val="13"/>
        <w:tabs>
          <w:tab w:val="center" w:pos="4153"/>
          <w:tab w:val="left" w:pos="7275"/>
        </w:tabs>
        <w:spacing w:line="579" w:lineRule="exact"/>
        <w:ind w:firstLine="640"/>
        <w:rPr>
          <w:rFonts w:hint="eastAsia" w:ascii="方正楷体_GBK" w:hAnsi="方正楷体_GBK" w:eastAsia="方正楷体_GBK" w:cs="方正楷体_GBK"/>
          <w:bCs/>
          <w:kern w:val="0"/>
          <w:sz w:val="32"/>
          <w:szCs w:val="32"/>
        </w:rPr>
      </w:pPr>
      <w:r>
        <w:rPr>
          <w:rFonts w:hint="eastAsia" w:ascii="方正楷体_GBK" w:hAnsi="方正楷体_GBK" w:eastAsia="方正楷体_GBK" w:cs="方正楷体_GBK"/>
          <w:bCs/>
          <w:kern w:val="0"/>
          <w:sz w:val="32"/>
          <w:szCs w:val="32"/>
        </w:rPr>
        <w:t>（一）财政拨款收入</w:t>
      </w:r>
    </w:p>
    <w:p>
      <w:pPr>
        <w:pStyle w:val="13"/>
        <w:tabs>
          <w:tab w:val="center" w:pos="4153"/>
          <w:tab w:val="left" w:pos="7275"/>
        </w:tabs>
        <w:spacing w:line="579" w:lineRule="exact"/>
        <w:ind w:firstLine="640"/>
        <w:rPr>
          <w:rFonts w:ascii="Times New Roman" w:hAnsi="Times New Roman" w:eastAsia="方正仿宋_GBK"/>
          <w:sz w:val="32"/>
          <w:szCs w:val="32"/>
        </w:rPr>
      </w:pPr>
      <w:r>
        <w:rPr>
          <w:rFonts w:ascii="Times New Roman" w:hAnsi="Times New Roman" w:eastAsia="方正仿宋_GBK"/>
          <w:sz w:val="32"/>
          <w:szCs w:val="32"/>
        </w:rPr>
        <w:t>指本年度从本级财政部门取得的财政拨款，包括一般公共预算财政拨款和政府性基金预算财政拨款。</w:t>
      </w:r>
    </w:p>
    <w:p>
      <w:pPr>
        <w:pStyle w:val="13"/>
        <w:tabs>
          <w:tab w:val="center" w:pos="4153"/>
          <w:tab w:val="left" w:pos="7275"/>
        </w:tabs>
        <w:spacing w:line="579" w:lineRule="exact"/>
        <w:ind w:firstLine="640"/>
        <w:rPr>
          <w:rFonts w:hint="eastAsia" w:ascii="方正楷体_GBK" w:hAnsi="方正楷体_GBK" w:eastAsia="方正楷体_GBK" w:cs="方正楷体_GBK"/>
          <w:bCs/>
          <w:kern w:val="0"/>
          <w:sz w:val="32"/>
          <w:szCs w:val="32"/>
        </w:rPr>
      </w:pPr>
      <w:r>
        <w:rPr>
          <w:rFonts w:hint="eastAsia" w:ascii="方正楷体_GBK" w:hAnsi="方正楷体_GBK" w:eastAsia="方正楷体_GBK" w:cs="方正楷体_GBK"/>
          <w:bCs/>
          <w:kern w:val="0"/>
          <w:sz w:val="32"/>
          <w:szCs w:val="32"/>
        </w:rPr>
        <w:t>（二）年初结转和结余</w:t>
      </w:r>
    </w:p>
    <w:p>
      <w:pPr>
        <w:pStyle w:val="13"/>
        <w:tabs>
          <w:tab w:val="center" w:pos="4153"/>
          <w:tab w:val="left" w:pos="7275"/>
        </w:tabs>
        <w:spacing w:line="579" w:lineRule="exact"/>
        <w:ind w:firstLine="640"/>
        <w:rPr>
          <w:rFonts w:ascii="Times New Roman" w:hAnsi="Times New Roman" w:eastAsia="方正仿宋_GBK"/>
          <w:sz w:val="32"/>
          <w:szCs w:val="32"/>
        </w:rPr>
      </w:pPr>
      <w:r>
        <w:rPr>
          <w:rFonts w:ascii="Times New Roman" w:hAnsi="Times New Roman" w:eastAsia="方正仿宋_GBK"/>
          <w:sz w:val="32"/>
          <w:szCs w:val="32"/>
        </w:rPr>
        <w:t>指单位上年结转本年使用的基本支出结转、项目支出结转和结余、经营结余。</w:t>
      </w:r>
    </w:p>
    <w:p>
      <w:pPr>
        <w:pStyle w:val="13"/>
        <w:tabs>
          <w:tab w:val="center" w:pos="4153"/>
          <w:tab w:val="left" w:pos="7275"/>
        </w:tabs>
        <w:spacing w:line="579" w:lineRule="exact"/>
        <w:ind w:firstLine="640"/>
        <w:rPr>
          <w:rFonts w:hint="eastAsia" w:ascii="方正楷体_GBK" w:hAnsi="方正楷体_GBK" w:eastAsia="方正楷体_GBK" w:cs="方正楷体_GBK"/>
          <w:bCs/>
          <w:kern w:val="0"/>
          <w:sz w:val="32"/>
          <w:szCs w:val="32"/>
        </w:rPr>
      </w:pPr>
      <w:r>
        <w:rPr>
          <w:rFonts w:hint="eastAsia" w:ascii="方正楷体_GBK" w:hAnsi="方正楷体_GBK" w:eastAsia="方正楷体_GBK" w:cs="方正楷体_GBK"/>
          <w:bCs/>
          <w:kern w:val="0"/>
          <w:sz w:val="32"/>
          <w:szCs w:val="32"/>
        </w:rPr>
        <w:t>（三）年末结转和结余</w:t>
      </w:r>
    </w:p>
    <w:p>
      <w:pPr>
        <w:pStyle w:val="13"/>
        <w:tabs>
          <w:tab w:val="center" w:pos="4153"/>
          <w:tab w:val="left" w:pos="7275"/>
        </w:tabs>
        <w:spacing w:line="579" w:lineRule="exact"/>
        <w:ind w:firstLine="640"/>
        <w:rPr>
          <w:rFonts w:ascii="Times New Roman" w:hAnsi="Times New Roman" w:eastAsia="方正仿宋_GBK"/>
          <w:sz w:val="32"/>
          <w:szCs w:val="32"/>
        </w:rPr>
      </w:pPr>
      <w:r>
        <w:rPr>
          <w:rFonts w:ascii="Times New Roman" w:hAnsi="Times New Roman" w:eastAsia="方正仿宋_GBK"/>
          <w:sz w:val="32"/>
          <w:szCs w:val="32"/>
        </w:rPr>
        <w:t>指单位结转下年的基本支出结转、项目支出结转和结余、经营结余。</w:t>
      </w:r>
    </w:p>
    <w:p>
      <w:pPr>
        <w:pStyle w:val="13"/>
        <w:tabs>
          <w:tab w:val="center" w:pos="4153"/>
          <w:tab w:val="left" w:pos="7275"/>
        </w:tabs>
        <w:spacing w:line="579" w:lineRule="exact"/>
        <w:ind w:firstLine="640"/>
        <w:rPr>
          <w:rFonts w:hint="eastAsia" w:ascii="方正楷体_GBK" w:hAnsi="方正楷体_GBK" w:eastAsia="方正楷体_GBK" w:cs="方正楷体_GBK"/>
          <w:bCs/>
          <w:kern w:val="0"/>
          <w:sz w:val="32"/>
          <w:szCs w:val="32"/>
        </w:rPr>
      </w:pPr>
      <w:r>
        <w:rPr>
          <w:rFonts w:hint="eastAsia" w:ascii="方正楷体_GBK" w:hAnsi="方正楷体_GBK" w:eastAsia="方正楷体_GBK" w:cs="方正楷体_GBK"/>
          <w:bCs/>
          <w:kern w:val="0"/>
          <w:sz w:val="32"/>
          <w:szCs w:val="32"/>
        </w:rPr>
        <w:t>（四）基本支出</w:t>
      </w:r>
    </w:p>
    <w:p>
      <w:pPr>
        <w:pStyle w:val="13"/>
        <w:tabs>
          <w:tab w:val="center" w:pos="4153"/>
          <w:tab w:val="left" w:pos="7275"/>
        </w:tabs>
        <w:spacing w:line="579" w:lineRule="exact"/>
        <w:ind w:firstLine="640"/>
        <w:rPr>
          <w:rFonts w:ascii="Times New Roman" w:hAnsi="Times New Roman" w:eastAsia="方正仿宋_GBK"/>
          <w:sz w:val="32"/>
          <w:szCs w:val="32"/>
        </w:rPr>
      </w:pPr>
      <w:r>
        <w:rPr>
          <w:rFonts w:ascii="Times New Roman" w:hAnsi="Times New Roman"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hd w:val="clear" w:color="auto" w:fill="FFFFFF"/>
        <w:spacing w:before="0" w:beforeAutospacing="0" w:after="0" w:afterAutospacing="0" w:line="579" w:lineRule="exact"/>
        <w:ind w:firstLine="640" w:firstLineChars="200"/>
        <w:jc w:val="both"/>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（五）项目支出</w:t>
      </w:r>
    </w:p>
    <w:p>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指在基本支出之外为完成特定行政任务和事业发展目标所发生的支出。</w:t>
      </w:r>
    </w:p>
    <w:p>
      <w:pPr>
        <w:pStyle w:val="6"/>
        <w:shd w:val="clear" w:color="auto" w:fill="FFFFFF"/>
        <w:spacing w:before="0" w:beforeAutospacing="0" w:after="0" w:afterAutospacing="0" w:line="579" w:lineRule="exact"/>
        <w:ind w:firstLine="640" w:firstLineChars="200"/>
        <w:jc w:val="both"/>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（六）“三公”经费</w:t>
      </w:r>
    </w:p>
    <w:p>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hd w:val="clear" w:color="auto" w:fill="FFFFFF"/>
        <w:spacing w:before="0" w:beforeAutospacing="0" w:after="0" w:afterAutospacing="0" w:line="579" w:lineRule="exact"/>
        <w:ind w:firstLine="640" w:firstLineChars="200"/>
        <w:jc w:val="both"/>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（七）机关运行经费</w:t>
      </w:r>
    </w:p>
    <w:p>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hd w:val="clear" w:color="auto" w:fill="FFFFFF"/>
        <w:spacing w:before="0" w:beforeAutospacing="0" w:after="0" w:afterAutospacing="0" w:line="579" w:lineRule="exact"/>
        <w:ind w:firstLine="640" w:firstLineChars="200"/>
        <w:jc w:val="both"/>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（八）工资福利支出（支出经济分类科目类级）</w:t>
      </w:r>
    </w:p>
    <w:p>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反映单位开支的在职职工和编制外长期聘用人员的各类劳动报酬，以及为上述人员缴纳的各项社会保险费等。</w:t>
      </w:r>
    </w:p>
    <w:p>
      <w:pPr>
        <w:pStyle w:val="6"/>
        <w:shd w:val="clear" w:color="auto" w:fill="FFFFFF"/>
        <w:spacing w:before="0" w:beforeAutospacing="0" w:after="0" w:afterAutospacing="0" w:line="579" w:lineRule="exact"/>
        <w:ind w:firstLine="640" w:firstLineChars="200"/>
        <w:jc w:val="both"/>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（九）商品和服务支出（支出经济分类科目类级）</w:t>
      </w:r>
    </w:p>
    <w:p>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反映单位购买商品和服务的支出（不包括用于购置固定资产的支出、战略性和应急储备支出）。</w:t>
      </w:r>
    </w:p>
    <w:p>
      <w:pPr>
        <w:pStyle w:val="6"/>
        <w:shd w:val="clear" w:color="auto" w:fill="FFFFFF"/>
        <w:spacing w:before="0" w:beforeAutospacing="0" w:after="0" w:afterAutospacing="0" w:line="579" w:lineRule="exact"/>
        <w:ind w:firstLine="640" w:firstLineChars="200"/>
        <w:jc w:val="both"/>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（十）对个人和家庭的补助（支出经济分类科目类级）</w:t>
      </w:r>
    </w:p>
    <w:p>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反映用于对个人和家庭的补助支出。</w:t>
      </w:r>
    </w:p>
    <w:p>
      <w:pPr>
        <w:pStyle w:val="6"/>
        <w:shd w:val="clear" w:color="auto" w:fill="FFFFFF"/>
        <w:spacing w:before="0" w:beforeAutospacing="0" w:after="0" w:afterAutospacing="0" w:line="579" w:lineRule="exact"/>
        <w:ind w:firstLine="640" w:firstLineChars="200"/>
        <w:jc w:val="both"/>
        <w:rPr>
          <w:rFonts w:hint="eastAsia" w:ascii="方正楷体_GBK" w:hAnsi="方正楷体_GBK" w:eastAsia="方正楷体_GBK" w:cs="方正楷体_GBK"/>
          <w:bCs/>
          <w:sz w:val="32"/>
          <w:szCs w:val="32"/>
        </w:rPr>
      </w:pPr>
      <w:r>
        <w:rPr>
          <w:rFonts w:hint="eastAsia" w:ascii="方正楷体_GBK" w:hAnsi="方正楷体_GBK" w:eastAsia="方正楷体_GBK" w:cs="方正楷体_GBK"/>
          <w:bCs/>
          <w:sz w:val="32"/>
          <w:szCs w:val="32"/>
        </w:rPr>
        <w:t>（十一）其他资本性支出（支出经济分类科目类级）</w:t>
      </w:r>
    </w:p>
    <w:p>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line="579" w:lineRule="exact"/>
        <w:ind w:firstLine="640" w:firstLineChars="200"/>
        <w:jc w:val="both"/>
        <w:rPr>
          <w:rFonts w:ascii="方正黑体_GBK" w:hAnsi="方正黑体_GBK" w:eastAsia="方正黑体_GBK" w:cs="方正黑体_GBK"/>
          <w:b/>
          <w:sz w:val="32"/>
          <w:szCs w:val="32"/>
        </w:rPr>
      </w:pPr>
      <w:r>
        <w:rPr>
          <w:rStyle w:val="9"/>
          <w:rFonts w:hint="eastAsia" w:ascii="方正黑体_GBK" w:hAnsi="方正黑体_GBK" w:eastAsia="方正黑体_GBK" w:cs="方正黑体_GBK"/>
          <w:b w:val="0"/>
          <w:sz w:val="32"/>
          <w:szCs w:val="32"/>
        </w:rPr>
        <w:t>七、决算公开联系方式及信息反馈渠道</w:t>
      </w:r>
    </w:p>
    <w:p>
      <w:pPr>
        <w:pStyle w:val="6"/>
        <w:shd w:val="clear" w:color="auto" w:fill="FFFFFF"/>
        <w:spacing w:before="0" w:beforeAutospacing="0" w:after="0" w:afterAutospacing="0" w:line="579"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本单位决算公开信息反馈和联系方式：023-62808268。</w:t>
      </w:r>
    </w:p>
    <w:p>
      <w:pPr>
        <w:pStyle w:val="6"/>
        <w:shd w:val="clear" w:color="auto" w:fill="FFFFFF"/>
        <w:spacing w:before="0" w:beforeAutospacing="0" w:after="0" w:afterAutospacing="0" w:line="579" w:lineRule="exact"/>
        <w:jc w:val="both"/>
        <w:rPr>
          <w:rFonts w:ascii="Times New Roman" w:hAnsi="Times New Roman" w:eastAsia="方正仿宋_GBK" w:cs="Times New Roman"/>
          <w:sz w:val="32"/>
          <w:szCs w:val="32"/>
        </w:rPr>
      </w:pPr>
    </w:p>
    <w:sectPr>
      <w:footerReference r:id="rId3" w:type="default"/>
      <w:pgSz w:w="11907" w:h="16840"/>
      <w:pgMar w:top="2098" w:right="1701" w:bottom="1985" w:left="181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roman"/>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32487"/>
    </w:sdtPr>
    <w:sdtContent>
      <w:p>
        <w:pPr>
          <w:pStyle w:val="4"/>
          <w:jc w:val="center"/>
        </w:pPr>
      </w:p>
      <w:p>
        <w:pPr>
          <w:pStyle w:val="4"/>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28</w:t>
        </w:r>
        <w:r>
          <w:rPr>
            <w:rFonts w:ascii="Times New Roman" w:hAnsi="Times New Roman" w:cs="Times New Roman"/>
            <w:sz w:val="21"/>
            <w:szCs w:val="21"/>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noPunctuationKerning w:val="1"/>
  <w:characterSpacingControl w:val="doNotCompress"/>
  <w:compat>
    <w:useFELayout/>
    <w:compatSetting w:name="compatibilityMode" w:uri="http://schemas.microsoft.com/office/word" w:val="12"/>
  </w:compat>
  <w:rsids>
    <w:rsidRoot w:val="009A41FA"/>
    <w:rsid w:val="000478A4"/>
    <w:rsid w:val="00047D0C"/>
    <w:rsid w:val="00065022"/>
    <w:rsid w:val="0007628E"/>
    <w:rsid w:val="00081AAF"/>
    <w:rsid w:val="00090199"/>
    <w:rsid w:val="000B5109"/>
    <w:rsid w:val="00115962"/>
    <w:rsid w:val="00146F8A"/>
    <w:rsid w:val="00195915"/>
    <w:rsid w:val="001A6833"/>
    <w:rsid w:val="001C4D44"/>
    <w:rsid w:val="001E63C3"/>
    <w:rsid w:val="001F4420"/>
    <w:rsid w:val="00220AEB"/>
    <w:rsid w:val="00221A09"/>
    <w:rsid w:val="00223621"/>
    <w:rsid w:val="00224DF0"/>
    <w:rsid w:val="0024719C"/>
    <w:rsid w:val="002568A0"/>
    <w:rsid w:val="00275708"/>
    <w:rsid w:val="0027601F"/>
    <w:rsid w:val="00277F37"/>
    <w:rsid w:val="002904C6"/>
    <w:rsid w:val="00297E1D"/>
    <w:rsid w:val="002B6636"/>
    <w:rsid w:val="002C75E6"/>
    <w:rsid w:val="002D1509"/>
    <w:rsid w:val="002E2B05"/>
    <w:rsid w:val="002F5530"/>
    <w:rsid w:val="0030438F"/>
    <w:rsid w:val="00313E61"/>
    <w:rsid w:val="00316F52"/>
    <w:rsid w:val="00317DE3"/>
    <w:rsid w:val="00323DC8"/>
    <w:rsid w:val="003269CF"/>
    <w:rsid w:val="00337D75"/>
    <w:rsid w:val="00340FC5"/>
    <w:rsid w:val="003463D8"/>
    <w:rsid w:val="00382942"/>
    <w:rsid w:val="003A0844"/>
    <w:rsid w:val="003C530E"/>
    <w:rsid w:val="003E5B69"/>
    <w:rsid w:val="00411B69"/>
    <w:rsid w:val="0041203C"/>
    <w:rsid w:val="00420E29"/>
    <w:rsid w:val="00457945"/>
    <w:rsid w:val="004717EC"/>
    <w:rsid w:val="00480583"/>
    <w:rsid w:val="004916C6"/>
    <w:rsid w:val="004A381B"/>
    <w:rsid w:val="004D4D09"/>
    <w:rsid w:val="00513303"/>
    <w:rsid w:val="00522CB3"/>
    <w:rsid w:val="005257E0"/>
    <w:rsid w:val="00561FAF"/>
    <w:rsid w:val="00564C8D"/>
    <w:rsid w:val="00586578"/>
    <w:rsid w:val="00590416"/>
    <w:rsid w:val="00626810"/>
    <w:rsid w:val="0063459A"/>
    <w:rsid w:val="006443CC"/>
    <w:rsid w:val="0065179F"/>
    <w:rsid w:val="00693C2A"/>
    <w:rsid w:val="00697B8B"/>
    <w:rsid w:val="006B3A67"/>
    <w:rsid w:val="006C6AC8"/>
    <w:rsid w:val="006D7541"/>
    <w:rsid w:val="006E133F"/>
    <w:rsid w:val="006E3A47"/>
    <w:rsid w:val="006E465B"/>
    <w:rsid w:val="006E6C82"/>
    <w:rsid w:val="006F08AE"/>
    <w:rsid w:val="006F3BF5"/>
    <w:rsid w:val="0073352C"/>
    <w:rsid w:val="00737490"/>
    <w:rsid w:val="00762B59"/>
    <w:rsid w:val="00772E20"/>
    <w:rsid w:val="007813B9"/>
    <w:rsid w:val="0079152B"/>
    <w:rsid w:val="0079483A"/>
    <w:rsid w:val="007C3702"/>
    <w:rsid w:val="007F0230"/>
    <w:rsid w:val="007F1469"/>
    <w:rsid w:val="007F3C73"/>
    <w:rsid w:val="00820C59"/>
    <w:rsid w:val="008265B9"/>
    <w:rsid w:val="008415ED"/>
    <w:rsid w:val="00844149"/>
    <w:rsid w:val="008730DE"/>
    <w:rsid w:val="0087676C"/>
    <w:rsid w:val="0088080E"/>
    <w:rsid w:val="00882FF5"/>
    <w:rsid w:val="0089240E"/>
    <w:rsid w:val="008A039E"/>
    <w:rsid w:val="008C17FA"/>
    <w:rsid w:val="008C2AA4"/>
    <w:rsid w:val="008C4BAF"/>
    <w:rsid w:val="008C4C79"/>
    <w:rsid w:val="008C5142"/>
    <w:rsid w:val="008C555F"/>
    <w:rsid w:val="008F18D8"/>
    <w:rsid w:val="0090384D"/>
    <w:rsid w:val="0091268F"/>
    <w:rsid w:val="00915B1D"/>
    <w:rsid w:val="009167F0"/>
    <w:rsid w:val="00920078"/>
    <w:rsid w:val="00942D5C"/>
    <w:rsid w:val="00997668"/>
    <w:rsid w:val="009A41FA"/>
    <w:rsid w:val="009D65BE"/>
    <w:rsid w:val="009F1CA4"/>
    <w:rsid w:val="00A21821"/>
    <w:rsid w:val="00A31CCA"/>
    <w:rsid w:val="00A345DA"/>
    <w:rsid w:val="00A43F98"/>
    <w:rsid w:val="00A459EF"/>
    <w:rsid w:val="00A70EC9"/>
    <w:rsid w:val="00AD759E"/>
    <w:rsid w:val="00B61C9F"/>
    <w:rsid w:val="00B63210"/>
    <w:rsid w:val="00B945A0"/>
    <w:rsid w:val="00BA1FD6"/>
    <w:rsid w:val="00BC5277"/>
    <w:rsid w:val="00C604D4"/>
    <w:rsid w:val="00C6578B"/>
    <w:rsid w:val="00C76068"/>
    <w:rsid w:val="00C82064"/>
    <w:rsid w:val="00C947A8"/>
    <w:rsid w:val="00C94BD4"/>
    <w:rsid w:val="00CB1DD2"/>
    <w:rsid w:val="00CE27F6"/>
    <w:rsid w:val="00D15BEB"/>
    <w:rsid w:val="00D33E16"/>
    <w:rsid w:val="00D473AA"/>
    <w:rsid w:val="00D639BB"/>
    <w:rsid w:val="00D73116"/>
    <w:rsid w:val="00D93249"/>
    <w:rsid w:val="00DA738B"/>
    <w:rsid w:val="00DC313B"/>
    <w:rsid w:val="00DC346B"/>
    <w:rsid w:val="00DD511A"/>
    <w:rsid w:val="00E07898"/>
    <w:rsid w:val="00E2155A"/>
    <w:rsid w:val="00E25203"/>
    <w:rsid w:val="00E77FB3"/>
    <w:rsid w:val="00F364CA"/>
    <w:rsid w:val="00F543F6"/>
    <w:rsid w:val="00F554AF"/>
    <w:rsid w:val="00F63D28"/>
    <w:rsid w:val="00F6512D"/>
    <w:rsid w:val="00F75F53"/>
    <w:rsid w:val="00F8277D"/>
    <w:rsid w:val="00FC43F9"/>
    <w:rsid w:val="00FD7BB0"/>
    <w:rsid w:val="00FE2914"/>
    <w:rsid w:val="00FE4C30"/>
    <w:rsid w:val="015C324E"/>
    <w:rsid w:val="06E63602"/>
    <w:rsid w:val="06E94E42"/>
    <w:rsid w:val="08F44653"/>
    <w:rsid w:val="0F885280"/>
    <w:rsid w:val="117722B5"/>
    <w:rsid w:val="12C15E57"/>
    <w:rsid w:val="163C2DB6"/>
    <w:rsid w:val="172442A4"/>
    <w:rsid w:val="1E8E6203"/>
    <w:rsid w:val="1F8F4471"/>
    <w:rsid w:val="20C62420"/>
    <w:rsid w:val="226330EB"/>
    <w:rsid w:val="235F2C03"/>
    <w:rsid w:val="28B82074"/>
    <w:rsid w:val="2A331843"/>
    <w:rsid w:val="33E46269"/>
    <w:rsid w:val="34E33317"/>
    <w:rsid w:val="3C1610E8"/>
    <w:rsid w:val="3ED61B1A"/>
    <w:rsid w:val="411B3A71"/>
    <w:rsid w:val="425C3C54"/>
    <w:rsid w:val="493D014C"/>
    <w:rsid w:val="4D7010CB"/>
    <w:rsid w:val="515668EA"/>
    <w:rsid w:val="51BE3113"/>
    <w:rsid w:val="51EF400D"/>
    <w:rsid w:val="54AC1D89"/>
    <w:rsid w:val="58895926"/>
    <w:rsid w:val="5ABB68C9"/>
    <w:rsid w:val="5EDB3C8B"/>
    <w:rsid w:val="60075168"/>
    <w:rsid w:val="63616BDE"/>
    <w:rsid w:val="68AA5989"/>
    <w:rsid w:val="6B7B2F1C"/>
    <w:rsid w:val="6BA61D25"/>
    <w:rsid w:val="6C3A50EA"/>
    <w:rsid w:val="6E453CD9"/>
    <w:rsid w:val="717B3C38"/>
    <w:rsid w:val="74250D49"/>
    <w:rsid w:val="74CD59CD"/>
    <w:rsid w:val="762C3F53"/>
    <w:rsid w:val="7C687D57"/>
    <w:rsid w:val="7E150A17"/>
    <w:rsid w:val="7E404290"/>
    <w:rsid w:val="7EBD5AFB"/>
    <w:rsid w:val="7F4D5F70"/>
    <w:rsid w:val="7FCF7B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semiHidden/>
    <w:unhideWhenUsed/>
    <w:qFormat/>
    <w:uiPriority w:val="99"/>
    <w:rPr>
      <w:sz w:val="18"/>
      <w:szCs w:val="18"/>
    </w:r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pPr>
  </w:style>
  <w:style w:type="character" w:styleId="9">
    <w:name w:val="Strong"/>
    <w:basedOn w:val="8"/>
    <w:qFormat/>
    <w:uiPriority w:val="22"/>
    <w:rPr>
      <w:b/>
      <w:bCs/>
    </w:rPr>
  </w:style>
  <w:style w:type="character" w:customStyle="1" w:styleId="10">
    <w:name w:val="页眉 Char"/>
    <w:basedOn w:val="8"/>
    <w:link w:val="5"/>
    <w:semiHidden/>
    <w:qFormat/>
    <w:locked/>
    <w:uiPriority w:val="99"/>
    <w:rPr>
      <w:rFonts w:hint="eastAsia" w:ascii="宋体" w:hAnsi="宋体" w:eastAsia="宋体" w:cs="宋体"/>
      <w:sz w:val="18"/>
      <w:szCs w:val="18"/>
    </w:rPr>
  </w:style>
  <w:style w:type="character" w:customStyle="1" w:styleId="11">
    <w:name w:val="页脚 Char"/>
    <w:basedOn w:val="8"/>
    <w:link w:val="4"/>
    <w:qFormat/>
    <w:locked/>
    <w:uiPriority w:val="99"/>
    <w:rPr>
      <w:rFonts w:hint="eastAsia" w:ascii="宋体" w:hAnsi="宋体" w:eastAsia="宋体" w:cs="宋体"/>
      <w:sz w:val="18"/>
      <w:szCs w:val="18"/>
    </w:rPr>
  </w:style>
  <w:style w:type="character" w:customStyle="1" w:styleId="12">
    <w:name w:val="文档结构图 Char"/>
    <w:basedOn w:val="8"/>
    <w:link w:val="2"/>
    <w:semiHidden/>
    <w:qFormat/>
    <w:locked/>
    <w:uiPriority w:val="99"/>
    <w:rPr>
      <w:rFonts w:hint="eastAsia" w:ascii="宋体" w:hAnsi="宋体" w:eastAsia="宋体" w:cs="宋体"/>
      <w:sz w:val="18"/>
      <w:szCs w:val="18"/>
    </w:rPr>
  </w:style>
  <w:style w:type="paragraph" w:styleId="13">
    <w:name w:val="List Paragraph"/>
    <w:basedOn w:val="1"/>
    <w:qFormat/>
    <w:uiPriority w:val="34"/>
    <w:pPr>
      <w:widowControl w:val="0"/>
      <w:ind w:firstLine="420" w:firstLineChars="200"/>
      <w:jc w:val="both"/>
    </w:pPr>
    <w:rPr>
      <w:rFonts w:ascii="Calibri" w:hAnsi="Calibri" w:cs="Times New Roman"/>
      <w:kern w:val="2"/>
      <w:sz w:val="21"/>
      <w:szCs w:val="22"/>
    </w:rPr>
  </w:style>
  <w:style w:type="paragraph" w:customStyle="1" w:styleId="14">
    <w:name w:val="msonormal"/>
    <w:basedOn w:val="1"/>
    <w:semiHidden/>
    <w:qFormat/>
    <w:uiPriority w:val="99"/>
    <w:pPr>
      <w:spacing w:before="100" w:beforeAutospacing="1" w:after="100" w:afterAutospacing="1"/>
    </w:pPr>
  </w:style>
  <w:style w:type="character" w:customStyle="1" w:styleId="15">
    <w:name w:val="批注框文本 Char"/>
    <w:basedOn w:val="8"/>
    <w:link w:val="3"/>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A99550-B257-4546-AB00-96699E81D5B1}">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1960</Words>
  <Characters>11172</Characters>
  <Lines>93</Lines>
  <Paragraphs>26</Paragraphs>
  <TotalTime>3</TotalTime>
  <ScaleCrop>false</ScaleCrop>
  <LinksUpToDate>false</LinksUpToDate>
  <CharactersWithSpaces>13106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2021-09-08T03:29:00Z</dcterms:created>
  <dc:creator>Administrator</dc:creator>
  <cp:lastModifiedBy>apple</cp:lastModifiedBy>
  <cp:lastPrinted>2021-08-31T06:34:00Z</cp:lastPrinted>
  <dcterms:modified xsi:type="dcterms:W3CDTF">2021-11-20T14:35:08Z</dcterms:modified>
  <dc:title>公开报告模板</dc:title>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59565A28B7D64E518DC03D5A88A6174B</vt:lpwstr>
  </property>
</Properties>
</file>