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0983A">
      <w:pPr>
        <w:pStyle w:val="5"/>
        <w:shd w:val="clear" w:color="auto" w:fill="FFFFFF"/>
        <w:spacing w:before="0" w:beforeAutospacing="0" w:after="0" w:afterAutospacing="0" w:line="560" w:lineRule="exact"/>
        <w:jc w:val="center"/>
        <w:rPr>
          <w:rFonts w:ascii="方正小标宋_GBK" w:eastAsia="方正小标宋_GBK"/>
          <w:sz w:val="44"/>
          <w:szCs w:val="44"/>
        </w:rPr>
      </w:pPr>
      <w:r>
        <w:rPr>
          <w:rFonts w:hint="eastAsia" w:ascii="方正小标宋_GBK" w:eastAsia="方正小标宋_GBK"/>
          <w:sz w:val="44"/>
          <w:szCs w:val="44"/>
        </w:rPr>
        <w:t>重庆市南岸区人民政府</w:t>
      </w:r>
    </w:p>
    <w:p w14:paraId="7F8930A5">
      <w:pPr>
        <w:pStyle w:val="5"/>
        <w:shd w:val="clear" w:color="auto" w:fill="FFFFFF"/>
        <w:spacing w:before="0" w:beforeAutospacing="0" w:after="0" w:afterAutospacing="0" w:line="560" w:lineRule="exact"/>
        <w:jc w:val="center"/>
        <w:rPr>
          <w:rFonts w:ascii="方正小标宋_GBK" w:eastAsia="方正小标宋_GBK"/>
          <w:sz w:val="44"/>
          <w:szCs w:val="44"/>
        </w:rPr>
      </w:pPr>
      <w:r>
        <w:rPr>
          <w:rFonts w:hint="eastAsia" w:ascii="方正小标宋_GBK" w:eastAsia="方正小标宋_GBK"/>
          <w:sz w:val="44"/>
          <w:szCs w:val="44"/>
        </w:rPr>
        <w:t>龙门浩街道办事处2020年度部门决算</w:t>
      </w:r>
    </w:p>
    <w:p w14:paraId="3F5F9F17">
      <w:pPr>
        <w:pStyle w:val="5"/>
        <w:shd w:val="clear" w:color="auto" w:fill="FFFFFF"/>
        <w:spacing w:before="0" w:beforeAutospacing="0" w:after="0" w:afterAutospacing="0" w:line="560" w:lineRule="exact"/>
        <w:jc w:val="center"/>
        <w:rPr>
          <w:rFonts w:ascii="方正小标宋_GBK" w:eastAsia="方正小标宋_GBK"/>
          <w:sz w:val="44"/>
          <w:szCs w:val="44"/>
        </w:rPr>
      </w:pPr>
      <w:r>
        <w:rPr>
          <w:rFonts w:hint="eastAsia" w:ascii="方正小标宋_GBK" w:eastAsia="方正小标宋_GBK"/>
          <w:sz w:val="44"/>
          <w:szCs w:val="44"/>
        </w:rPr>
        <w:t>情况说明</w:t>
      </w:r>
    </w:p>
    <w:p w14:paraId="1A1F7ED6">
      <w:pPr>
        <w:pStyle w:val="5"/>
        <w:shd w:val="clear" w:color="auto" w:fill="FFFFFF"/>
        <w:spacing w:before="0" w:beforeAutospacing="0" w:after="0" w:afterAutospacing="0" w:line="560" w:lineRule="exact"/>
        <w:ind w:firstLine="880" w:firstLineChars="200"/>
        <w:jc w:val="both"/>
        <w:rPr>
          <w:rFonts w:ascii="方正小标宋_GBK" w:eastAsia="方正小标宋_GBK"/>
          <w:sz w:val="44"/>
          <w:szCs w:val="44"/>
        </w:rPr>
      </w:pPr>
    </w:p>
    <w:p w14:paraId="366F8EEF">
      <w:pPr>
        <w:pStyle w:val="5"/>
        <w:shd w:val="clear" w:color="auto" w:fill="FFFFFF"/>
        <w:spacing w:before="0" w:beforeAutospacing="0" w:after="0" w:afterAutospacing="0" w:line="560" w:lineRule="exact"/>
        <w:ind w:firstLine="640" w:firstLineChars="200"/>
        <w:jc w:val="both"/>
        <w:rPr>
          <w:rStyle w:val="8"/>
          <w:rFonts w:ascii="黑体" w:hAnsi="黑体" w:eastAsia="黑体"/>
          <w:b w:val="0"/>
          <w:sz w:val="32"/>
          <w:szCs w:val="32"/>
        </w:rPr>
      </w:pPr>
      <w:r>
        <w:rPr>
          <w:rStyle w:val="8"/>
          <w:rFonts w:hint="eastAsia" w:ascii="黑体" w:hAnsi="黑体" w:eastAsia="黑体"/>
          <w:b w:val="0"/>
          <w:sz w:val="32"/>
          <w:szCs w:val="32"/>
        </w:rPr>
        <w:t>一、部门基本情况</w:t>
      </w:r>
    </w:p>
    <w:p w14:paraId="229F287E">
      <w:pPr>
        <w:ind w:firstLine="640"/>
        <w:jc w:val="both"/>
        <w:rPr>
          <w:rFonts w:ascii="楷体" w:hAnsi="楷体" w:eastAsia="楷体"/>
        </w:rPr>
      </w:pPr>
      <w:r>
        <w:rPr>
          <w:rFonts w:hint="eastAsia" w:ascii="楷体" w:hAnsi="楷体" w:eastAsia="楷体"/>
          <w:sz w:val="32"/>
          <w:szCs w:val="32"/>
        </w:rPr>
        <w:t xml:space="preserve">  </w:t>
      </w:r>
      <w:r>
        <w:rPr>
          <w:rFonts w:hint="eastAsia" w:ascii="楷体" w:hAnsi="楷体" w:eastAsia="楷体"/>
          <w:b/>
          <w:sz w:val="32"/>
          <w:szCs w:val="32"/>
        </w:rPr>
        <w:t>（一）职能职责</w:t>
      </w:r>
    </w:p>
    <w:p w14:paraId="2B48539C">
      <w:pPr>
        <w:ind w:firstLine="640"/>
        <w:jc w:val="both"/>
        <w:rPr>
          <w:rFonts w:ascii="方正仿宋_GBK" w:eastAsia="方正仿宋_GBK"/>
          <w:sz w:val="32"/>
          <w:szCs w:val="32"/>
        </w:rPr>
      </w:pPr>
      <w:r>
        <w:rPr>
          <w:rFonts w:hint="eastAsia" w:ascii="方正仿宋_GBK" w:eastAsia="方正仿宋_GBK"/>
          <w:sz w:val="32"/>
          <w:szCs w:val="32"/>
        </w:rPr>
        <w:t>1．全面贯彻党的路线、方针、政策，执行上级国家行政机关的决定和命令，按照职责权限依法制定行政措施。</w:t>
      </w:r>
    </w:p>
    <w:p w14:paraId="7CA120D6">
      <w:pPr>
        <w:ind w:firstLine="640"/>
        <w:jc w:val="both"/>
        <w:rPr>
          <w:rFonts w:ascii="方正仿宋_GBK" w:eastAsia="方正仿宋_GBK"/>
          <w:sz w:val="32"/>
          <w:szCs w:val="32"/>
        </w:rPr>
      </w:pPr>
      <w:r>
        <w:rPr>
          <w:rFonts w:hint="eastAsia" w:ascii="方正仿宋_GBK" w:eastAsia="方正仿宋_GBK"/>
          <w:sz w:val="32"/>
          <w:szCs w:val="32"/>
        </w:rPr>
        <w:t xml:space="preserve">2．编报和执行本辖区内国民经济和社会发展计划，并做好统计工作；负责本辖区经济发展管理工作，繁荣区域经济。根据政府授权组织实施辖区内经济社会发展项目。 </w:t>
      </w:r>
    </w:p>
    <w:p w14:paraId="3D72A418">
      <w:pPr>
        <w:ind w:firstLine="640"/>
        <w:jc w:val="both"/>
        <w:rPr>
          <w:rFonts w:ascii="方正仿宋_GBK" w:eastAsia="方正仿宋_GBK"/>
          <w:sz w:val="32"/>
          <w:szCs w:val="32"/>
        </w:rPr>
      </w:pPr>
      <w:r>
        <w:rPr>
          <w:rFonts w:hint="eastAsia" w:ascii="方正仿宋_GBK" w:eastAsia="方正仿宋_GBK"/>
          <w:sz w:val="32"/>
          <w:szCs w:val="32"/>
        </w:rPr>
        <w:t>3．负责本辖区科学、教育、文化、卫生、体育、计划生育、环境和资源保护、安全、生产劳动和社会保障、民政、政府法制等行政工作。</w:t>
      </w:r>
    </w:p>
    <w:p w14:paraId="30AF55A5">
      <w:pPr>
        <w:ind w:firstLine="640"/>
        <w:jc w:val="both"/>
        <w:rPr>
          <w:rFonts w:ascii="方正仿宋_GBK" w:eastAsia="方正仿宋_GBK"/>
          <w:sz w:val="32"/>
          <w:szCs w:val="32"/>
        </w:rPr>
      </w:pPr>
      <w:r>
        <w:rPr>
          <w:rFonts w:hint="eastAsia" w:ascii="方正仿宋_GBK" w:eastAsia="方正仿宋_GBK"/>
          <w:sz w:val="32"/>
          <w:szCs w:val="32"/>
        </w:rPr>
        <w:t>4．负责本辖区精神文明建设工作，组织开展创建文明城市、文明社区、文明单位、居民自治模范社区、群众性文化体育等活动，组织开展民主法制教育和社会公德教育，提高全民素质。</w:t>
      </w:r>
    </w:p>
    <w:p w14:paraId="12984C19">
      <w:pPr>
        <w:ind w:firstLine="640"/>
        <w:jc w:val="both"/>
        <w:rPr>
          <w:rFonts w:ascii="方正仿宋_GBK" w:eastAsia="方正仿宋_GBK"/>
          <w:sz w:val="32"/>
          <w:szCs w:val="32"/>
        </w:rPr>
      </w:pPr>
      <w:r>
        <w:rPr>
          <w:rFonts w:hint="eastAsia" w:ascii="方正仿宋_GBK" w:eastAsia="方正仿宋_GBK"/>
          <w:sz w:val="32"/>
          <w:szCs w:val="32"/>
        </w:rPr>
        <w:t>5．配合区政府有关部门做好城市管理工作。负责管理大街小巷和居民区的清洁、绿化、亮化工作；组织开展爱国卫生活动；协助政府有关部门做好城市规划、建设管理和国土资源管理工作。</w:t>
      </w:r>
    </w:p>
    <w:p w14:paraId="01E63291">
      <w:pPr>
        <w:ind w:firstLine="640"/>
        <w:jc w:val="both"/>
        <w:rPr>
          <w:rFonts w:ascii="方正仿宋_GBK" w:eastAsia="方正仿宋_GBK"/>
          <w:sz w:val="32"/>
          <w:szCs w:val="32"/>
        </w:rPr>
      </w:pPr>
      <w:r>
        <w:rPr>
          <w:rFonts w:hint="eastAsia" w:ascii="方正仿宋_GBK" w:eastAsia="方正仿宋_GBK"/>
          <w:sz w:val="32"/>
          <w:szCs w:val="32"/>
        </w:rPr>
        <w:t>6．负责本辖区社区建设、管理、服务工作。指导居委会开展工作，反映社区居民的意见和要求，处理人民来信来访；按属地管理原则，制订本辖区社会治安综合治理规划并组织实施人民调解、治安保卫工作，维护社会秩序和社会稳定；举办便民、利民的社区公共事务和公共福利事业，负责社区公共服务设施、公共服务机构建设，负责优抚安置、救灾救济、拥军优属、殡葬改革、老龄事业及维护残疾人合法权益等工作。</w:t>
      </w:r>
    </w:p>
    <w:p w14:paraId="7757B7AE">
      <w:pPr>
        <w:ind w:firstLine="640"/>
        <w:jc w:val="both"/>
        <w:rPr>
          <w:rFonts w:ascii="方正仿宋_GBK" w:eastAsia="方正仿宋_GBK"/>
          <w:sz w:val="32"/>
          <w:szCs w:val="32"/>
        </w:rPr>
      </w:pPr>
      <w:r>
        <w:rPr>
          <w:rFonts w:hint="eastAsia" w:ascii="方正仿宋_GBK" w:eastAsia="方正仿宋_GBK"/>
          <w:sz w:val="32"/>
          <w:szCs w:val="32"/>
        </w:rPr>
        <w:t xml:space="preserve">7．保护辖区内全民所有的财产和集体所有的财产安全，保护公民私人所有的合法财产，保障公民的人身权利、民主权利和其它合法权利；保证各种经济组织合法权益。 </w:t>
      </w:r>
    </w:p>
    <w:p w14:paraId="7DA7614B">
      <w:pPr>
        <w:ind w:firstLine="640"/>
        <w:jc w:val="both"/>
        <w:rPr>
          <w:rFonts w:ascii="方正仿宋_GBK" w:eastAsia="方正仿宋_GBK"/>
          <w:sz w:val="32"/>
          <w:szCs w:val="32"/>
        </w:rPr>
      </w:pPr>
      <w:r>
        <w:rPr>
          <w:rFonts w:hint="eastAsia" w:ascii="方正仿宋_GBK" w:eastAsia="方正仿宋_GBK"/>
          <w:sz w:val="32"/>
          <w:szCs w:val="32"/>
        </w:rPr>
        <w:t>8．保障宪法和法律赋予妇女的男女平等、同工同酬和婚姻自由等各项权利。</w:t>
      </w:r>
    </w:p>
    <w:p w14:paraId="0CB9FFFD">
      <w:pPr>
        <w:ind w:firstLine="640"/>
        <w:jc w:val="both"/>
        <w:rPr>
          <w:rFonts w:ascii="方正仿宋_GBK" w:eastAsia="方正仿宋_GBK"/>
          <w:sz w:val="32"/>
          <w:szCs w:val="32"/>
        </w:rPr>
      </w:pPr>
      <w:r>
        <w:rPr>
          <w:rFonts w:hint="eastAsia" w:ascii="方正仿宋_GBK" w:eastAsia="方正仿宋_GBK"/>
          <w:sz w:val="32"/>
          <w:szCs w:val="32"/>
        </w:rPr>
        <w:t>9．对政府主管审批的事项提出审核意见。</w:t>
      </w:r>
    </w:p>
    <w:p w14:paraId="45F2F4B5">
      <w:pPr>
        <w:ind w:firstLine="640"/>
        <w:jc w:val="both"/>
        <w:rPr>
          <w:rFonts w:ascii="方正仿宋_GBK" w:eastAsia="方正仿宋_GBK"/>
          <w:sz w:val="32"/>
          <w:szCs w:val="32"/>
        </w:rPr>
      </w:pPr>
      <w:r>
        <w:rPr>
          <w:rFonts w:hint="eastAsia" w:ascii="方正仿宋_GBK" w:eastAsia="方正仿宋_GBK"/>
          <w:sz w:val="32"/>
          <w:szCs w:val="32"/>
        </w:rPr>
        <w:t>10．领导所属工作部门的工作；改变或者撤消所属工作部门不适当的决定。</w:t>
      </w:r>
    </w:p>
    <w:p w14:paraId="39C00C3C">
      <w:pPr>
        <w:ind w:firstLine="640"/>
        <w:jc w:val="both"/>
        <w:rPr>
          <w:rFonts w:ascii="方正仿宋_GBK" w:eastAsia="方正仿宋_GBK"/>
          <w:sz w:val="32"/>
          <w:szCs w:val="32"/>
        </w:rPr>
      </w:pPr>
      <w:r>
        <w:rPr>
          <w:rFonts w:hint="eastAsia" w:ascii="方正仿宋_GBK" w:eastAsia="方正仿宋_GBK"/>
          <w:sz w:val="32"/>
          <w:szCs w:val="32"/>
        </w:rPr>
        <w:t>11．依照法律的规定和干部管理权限任免、培训、考核和奖惩本辖区干部、工作人员。</w:t>
      </w:r>
    </w:p>
    <w:p w14:paraId="3FC2BD52">
      <w:pPr>
        <w:ind w:firstLine="640"/>
        <w:jc w:val="both"/>
        <w:rPr>
          <w:rFonts w:ascii="方正仿宋_GBK" w:eastAsia="方正仿宋_GBK"/>
          <w:sz w:val="32"/>
          <w:szCs w:val="32"/>
        </w:rPr>
      </w:pPr>
      <w:r>
        <w:rPr>
          <w:rFonts w:hint="eastAsia" w:ascii="方正仿宋_GBK" w:eastAsia="方正仿宋_GBK"/>
          <w:sz w:val="32"/>
          <w:szCs w:val="32"/>
        </w:rPr>
        <w:t>12．办理区委、区政府交办的其他工作事项。</w:t>
      </w:r>
    </w:p>
    <w:p w14:paraId="2DE934CC">
      <w:pPr>
        <w:widowControl w:val="0"/>
        <w:ind w:firstLine="640"/>
        <w:jc w:val="both"/>
        <w:rPr>
          <w:rFonts w:ascii="楷体" w:hAnsi="楷体" w:eastAsia="楷体"/>
          <w:b/>
          <w:sz w:val="32"/>
          <w:szCs w:val="32"/>
        </w:rPr>
      </w:pPr>
      <w:r>
        <w:rPr>
          <w:rFonts w:hint="eastAsia" w:ascii="楷体" w:hAnsi="楷体" w:eastAsia="楷体"/>
          <w:b/>
          <w:sz w:val="32"/>
          <w:szCs w:val="32"/>
        </w:rPr>
        <w:t>（二）机构设置</w:t>
      </w:r>
    </w:p>
    <w:p w14:paraId="4AF450EE">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我街道办事处为区政府的派出机构，属全额拨款行政单位。内设党政办公室、党建工作办公室、经济发展办公室、民政和社会事务办公室、平安建设办公室、规划建设管理环保办公室、财政办公室、应急管理办公室、综合行政执法办公室等9个职能科室，以及城管执法大队一个参公事业单位和社区事务服务中心、社区文化服务中心、劳动就业和社会保障服务所、退役军人服务站、综合行政执法大队、物业管理服务中心等6个事业单位。编制人数57人，实有在职人数48人，退休15人。</w:t>
      </w:r>
    </w:p>
    <w:p w14:paraId="046DC554">
      <w:pPr>
        <w:pStyle w:val="5"/>
        <w:shd w:val="clear" w:color="auto" w:fill="FFFFFF"/>
        <w:spacing w:before="0" w:beforeAutospacing="0" w:after="0" w:afterAutospacing="0" w:line="560" w:lineRule="exact"/>
        <w:ind w:firstLine="643" w:firstLineChars="200"/>
        <w:jc w:val="both"/>
        <w:outlineLvl w:val="1"/>
        <w:rPr>
          <w:rFonts w:ascii="楷体" w:hAnsi="楷体" w:eastAsia="楷体"/>
          <w:b/>
          <w:sz w:val="32"/>
          <w:szCs w:val="32"/>
        </w:rPr>
      </w:pPr>
      <w:r>
        <w:rPr>
          <w:rFonts w:hint="eastAsia" w:ascii="楷体" w:hAnsi="楷体" w:eastAsia="楷体"/>
          <w:b/>
          <w:sz w:val="32"/>
          <w:szCs w:val="32"/>
        </w:rPr>
        <w:t>（三）单位构成</w:t>
      </w:r>
    </w:p>
    <w:p w14:paraId="495B7E88">
      <w:pPr>
        <w:pStyle w:val="5"/>
        <w:shd w:val="clear" w:color="auto" w:fill="FFFFFF"/>
        <w:spacing w:before="0" w:beforeAutospacing="0" w:after="0" w:afterAutospacing="0" w:line="560" w:lineRule="exact"/>
        <w:ind w:firstLine="640" w:firstLineChars="200"/>
        <w:jc w:val="both"/>
        <w:outlineLvl w:val="1"/>
        <w:rPr>
          <w:rFonts w:ascii="方正仿宋_GBK" w:eastAsia="方正仿宋_GBK"/>
          <w:color w:val="FF0000"/>
          <w:sz w:val="32"/>
          <w:szCs w:val="32"/>
        </w:rPr>
      </w:pPr>
      <w:r>
        <w:rPr>
          <w:rFonts w:hint="eastAsia" w:ascii="仿宋_GB2312" w:hAnsi="仿宋_GB2312" w:eastAsia="仿宋_GB2312" w:cs="仿宋_GB2312"/>
          <w:sz w:val="32"/>
        </w:rPr>
        <w:t>本单位无下级预算单位。</w:t>
      </w:r>
    </w:p>
    <w:p w14:paraId="6503782C">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rPr>
      </w:pPr>
      <w:r>
        <w:rPr>
          <w:rStyle w:val="8"/>
          <w:rFonts w:hint="eastAsia" w:ascii="方正黑体_GBK" w:eastAsia="方正黑体_GBK"/>
          <w:b w:val="0"/>
          <w:sz w:val="32"/>
          <w:szCs w:val="32"/>
        </w:rPr>
        <w:t>二、部门决算情况说明</w:t>
      </w:r>
    </w:p>
    <w:p w14:paraId="10C5E6DA">
      <w:pPr>
        <w:widowControl w:val="0"/>
        <w:ind w:firstLine="640"/>
        <w:jc w:val="both"/>
        <w:rPr>
          <w:rFonts w:ascii="楷体" w:hAnsi="楷体" w:eastAsia="楷体"/>
          <w:b/>
          <w:sz w:val="32"/>
          <w:szCs w:val="32"/>
        </w:rPr>
      </w:pPr>
      <w:r>
        <w:rPr>
          <w:rFonts w:hint="eastAsia" w:ascii="楷体" w:hAnsi="楷体" w:eastAsia="楷体"/>
          <w:b/>
          <w:sz w:val="32"/>
          <w:szCs w:val="32"/>
        </w:rPr>
        <w:t>（一）收入支出决算总体情况说明</w:t>
      </w:r>
    </w:p>
    <w:p w14:paraId="182EB3BA">
      <w:pPr>
        <w:pStyle w:val="5"/>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1.总体情况</w:t>
      </w:r>
    </w:p>
    <w:p w14:paraId="78C65B63">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收入总计4485.78万元，支出总计4485.78万元。收支较上年决算数增加442.89万元，增长11.0%，主要原因是年中追加安排龙门浩街道社区养老服务建设补贴、龙门路老旧小区改造项目经费、防汛抢险和灾后重建补助、新冠肺炎疫情防控等专项经费。</w:t>
      </w:r>
    </w:p>
    <w:p w14:paraId="26E1945D">
      <w:pPr>
        <w:pStyle w:val="5"/>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2.收入情况</w:t>
      </w:r>
    </w:p>
    <w:p w14:paraId="7CDEB862">
      <w:pPr>
        <w:pStyle w:val="5"/>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2020年度收入合计4399.24万元，较上年决算数增加375.04万元，增长9.3%，主要原因是年中追加安排龙门浩街道社区养老服务中心建设补贴、龙门路老旧小区改造项目经费、防汛抢险和灾后重建补助、新冠肺炎疫情防控等专项经费。其中：财政拨款收入4399.24万元，占100%。此外，年初结转和结余86.54万元。</w:t>
      </w:r>
    </w:p>
    <w:p w14:paraId="41E73838">
      <w:pPr>
        <w:pStyle w:val="5"/>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3.支出情况</w:t>
      </w:r>
    </w:p>
    <w:p w14:paraId="6AE2AA7A">
      <w:pPr>
        <w:pStyle w:val="5"/>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2020年度支出合计4482.45万元，较上年决算数增加521.27万元，增长13.2%，主要原因是年中主要原因是追加安排龙门浩街道社区养老服务中心建设补贴、龙门路老旧小区改造项目经费、防汛抢险和灾后重建补助、新冠肺炎疫情防控等专项经费，以及支付了马鞍山老旧居住区整治项目结转资金。其中：基本支出</w:t>
      </w:r>
      <w:r>
        <w:rPr>
          <w:rFonts w:ascii="方正仿宋_GBK" w:eastAsia="方正仿宋_GBK"/>
          <w:sz w:val="32"/>
          <w:szCs w:val="32"/>
        </w:rPr>
        <w:t>1178.55</w:t>
      </w:r>
      <w:r>
        <w:rPr>
          <w:rFonts w:hint="eastAsia" w:ascii="方正仿宋_GBK" w:eastAsia="方正仿宋_GBK"/>
          <w:sz w:val="32"/>
          <w:szCs w:val="32"/>
        </w:rPr>
        <w:t>万元，占26.3%；项目支出</w:t>
      </w:r>
      <w:r>
        <w:rPr>
          <w:rFonts w:ascii="方正仿宋_GBK" w:eastAsia="方正仿宋_GBK"/>
          <w:sz w:val="32"/>
          <w:szCs w:val="32"/>
        </w:rPr>
        <w:t>3303.9</w:t>
      </w:r>
      <w:r>
        <w:rPr>
          <w:rFonts w:hint="eastAsia" w:ascii="方正仿宋_GBK" w:eastAsia="方正仿宋_GBK"/>
          <w:sz w:val="32"/>
          <w:szCs w:val="32"/>
        </w:rPr>
        <w:t>万元，占73.7%。</w:t>
      </w:r>
    </w:p>
    <w:p w14:paraId="57994DF4">
      <w:pPr>
        <w:pStyle w:val="5"/>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4.结转结余情况</w:t>
      </w:r>
    </w:p>
    <w:p w14:paraId="7DAA0544">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2020年度年末结转和结余3.32万元，较上年决算数减少 78.39万元，下降95.9%，主要原因是支付了马鞍山老旧居住区整治项目上年结转资金78万元。</w:t>
      </w:r>
    </w:p>
    <w:p w14:paraId="69EEF805">
      <w:pPr>
        <w:pStyle w:val="5"/>
        <w:shd w:val="clear" w:color="auto" w:fill="FFFFFF"/>
        <w:spacing w:before="0" w:beforeAutospacing="0" w:after="0" w:afterAutospacing="0" w:line="560" w:lineRule="exact"/>
        <w:ind w:firstLine="643" w:firstLineChars="200"/>
        <w:jc w:val="both"/>
        <w:outlineLvl w:val="0"/>
        <w:rPr>
          <w:rStyle w:val="8"/>
          <w:rFonts w:ascii="楷体" w:hAnsi="楷体" w:eastAsia="楷体"/>
        </w:rPr>
      </w:pPr>
      <w:r>
        <w:rPr>
          <w:rStyle w:val="8"/>
          <w:rFonts w:hint="eastAsia" w:ascii="楷体" w:hAnsi="楷体" w:eastAsia="楷体"/>
          <w:sz w:val="32"/>
          <w:szCs w:val="32"/>
        </w:rPr>
        <w:t>（二）财政拨款收入支出决算总体情况说明</w:t>
      </w:r>
    </w:p>
    <w:p w14:paraId="050FBDEC">
      <w:pPr>
        <w:pStyle w:val="5"/>
        <w:shd w:val="clear" w:color="auto" w:fill="FFFFFF"/>
        <w:spacing w:before="0" w:beforeAutospacing="0" w:after="0" w:afterAutospacing="0" w:line="560" w:lineRule="exact"/>
        <w:ind w:firstLine="640" w:firstLineChars="200"/>
        <w:jc w:val="both"/>
      </w:pPr>
      <w:r>
        <w:rPr>
          <w:rFonts w:hint="eastAsia" w:ascii="方正仿宋_GBK" w:eastAsia="方正仿宋_GBK"/>
          <w:bCs/>
          <w:sz w:val="32"/>
          <w:szCs w:val="32"/>
        </w:rPr>
        <w:t>2020年度财政拨款收入总计4485.78万元，较上年决算数</w:t>
      </w:r>
      <w:r>
        <w:rPr>
          <w:rFonts w:hint="eastAsia" w:ascii="方正仿宋_GBK" w:eastAsia="方正仿宋_GBK"/>
          <w:sz w:val="32"/>
          <w:szCs w:val="32"/>
        </w:rPr>
        <w:t>增加442.89万元，增长 11.0%。</w:t>
      </w:r>
      <w:r>
        <w:rPr>
          <w:rFonts w:hint="eastAsia" w:ascii="方正仿宋_GBK" w:eastAsia="方正仿宋_GBK"/>
          <w:bCs/>
          <w:sz w:val="32"/>
          <w:szCs w:val="32"/>
        </w:rPr>
        <w:t>财政拨款支出总计4485.78万元，较上年决算数</w:t>
      </w:r>
      <w:r>
        <w:rPr>
          <w:rFonts w:hint="eastAsia" w:ascii="方正仿宋_GBK" w:eastAsia="方正仿宋_GBK"/>
          <w:sz w:val="32"/>
          <w:szCs w:val="32"/>
        </w:rPr>
        <w:t>增加442.89万元，增长 11.0%。主要原因是年中追加安排龙门浩街道社区养老服务建设补贴、龙门路老旧小区改造项目经费、防汛抢险和灾后重建补助、新冠肺炎疫情防控等专项经费。</w:t>
      </w:r>
    </w:p>
    <w:p w14:paraId="66AEEC09">
      <w:pPr>
        <w:pStyle w:val="5"/>
        <w:shd w:val="clear" w:color="auto" w:fill="FFFFFF"/>
        <w:spacing w:before="0" w:beforeAutospacing="0" w:after="0" w:afterAutospacing="0" w:line="560" w:lineRule="exact"/>
        <w:ind w:firstLine="643" w:firstLineChars="200"/>
        <w:jc w:val="both"/>
        <w:outlineLvl w:val="0"/>
        <w:rPr>
          <w:rStyle w:val="8"/>
          <w:rFonts w:ascii="楷体" w:hAnsi="楷体" w:eastAsia="楷体"/>
          <w:sz w:val="32"/>
          <w:szCs w:val="32"/>
        </w:rPr>
      </w:pPr>
      <w:r>
        <w:rPr>
          <w:rStyle w:val="8"/>
          <w:rFonts w:hint="eastAsia" w:ascii="楷体" w:hAnsi="楷体" w:eastAsia="楷体"/>
          <w:sz w:val="32"/>
          <w:szCs w:val="32"/>
        </w:rPr>
        <w:t>（三）一般公共预算财政拨款支出决算情况说明</w:t>
      </w:r>
    </w:p>
    <w:p w14:paraId="37C8C499">
      <w:pPr>
        <w:pStyle w:val="5"/>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1.收入情况</w:t>
      </w:r>
    </w:p>
    <w:p w14:paraId="5C6B79B1">
      <w:pPr>
        <w:pStyle w:val="5"/>
        <w:shd w:val="clear" w:color="auto" w:fill="FFFFFF"/>
        <w:spacing w:before="0" w:beforeAutospacing="0" w:after="0" w:afterAutospacing="0" w:line="560" w:lineRule="exact"/>
        <w:ind w:firstLine="640" w:firstLineChars="200"/>
        <w:jc w:val="both"/>
      </w:pPr>
      <w:r>
        <w:rPr>
          <w:rFonts w:hint="eastAsia" w:ascii="方正仿宋_GBK" w:eastAsia="方正仿宋_GBK"/>
          <w:sz w:val="32"/>
          <w:szCs w:val="32"/>
        </w:rPr>
        <w:t>2020年度一般公共预算财政拨款收入4287.04万元，较上年决算数增加320.78万元，增长8.1%。主要原因是年中追加安排龙门浩街道社区养老服务建设补贴、龙门路老旧小区改造项目经费、防汛抢险和灾后重建补助、新冠肺炎疫情防控等专项经费。较年初预算数增加698.1万元，增长19.5%。主要原因是年中追加安排困难群众救助中央和市级补助资金305.07万元、社区养老服务中心建设补贴150万元、防汛抢险和灾后重建补助64万元、新型冠状病毒感染的肺炎疫情防控专项资金30万元、购房补贴36.34万元、生活垃圾分类建设经费28.7万元、城镇老旧小区改造项目资金26万元、市属国有企业退休人员社会化管理补助资金22.11万元、党员活动及非公书记补贴专项经费15.87万元、民政以奖代补14万元、公共文化免费开放补助经费5万元等。此外，年初财政拨款结转和结余86.54万元。</w:t>
      </w:r>
    </w:p>
    <w:p w14:paraId="5D720172">
      <w:pPr>
        <w:pStyle w:val="5"/>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2.支出情况</w:t>
      </w:r>
    </w:p>
    <w:p w14:paraId="1715A0CB">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一般公共预算财政拨款支出4370.25万元，较上年决算数增加467.01万元，增长12.0%。主要原因是年中追加安排龙门浩街道社区养老服务建设补贴、龙门路老旧小区改造项目经费、防汛抢险和灾后重建补助、新冠肺炎疫情防控等专项经费。较年初预算数增加781.31万元，增长21.8%。主要原因是年中追加安排困难群众救助中央和市级补助资金305.07万元、社区养老服务中心建设补贴150万元、防汛抢险和灾后重建补助64万元、新型冠状病毒感染的肺炎疫情防控专项资金30万元、购房补贴36.34万元、生活垃圾分类建设经费28.7万元、城镇老旧小区改造项目资金26万元、市属国有企业退休人员社会化管理补助资金22.11万元、党员活动及非公书记补贴专项经费15.87万元、民政以奖代补14万元、公共文化免费开放补助经费5万元等，以及支付了马鞍山老旧居住区整治项目上年结转资金78万元。</w:t>
      </w:r>
    </w:p>
    <w:p w14:paraId="02944499">
      <w:pPr>
        <w:pStyle w:val="5"/>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3.结转结余情况</w:t>
      </w:r>
    </w:p>
    <w:p w14:paraId="5B67E246">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2020年度年末一般公共预算财政拨款结转和结余3.32万元，较上年决算数减少</w:t>
      </w:r>
      <w:r>
        <w:rPr>
          <w:rFonts w:hint="eastAsia" w:ascii="方正仿宋_GBK" w:eastAsia="方正仿宋_GBK"/>
          <w:color w:val="FF0000"/>
          <w:sz w:val="32"/>
          <w:szCs w:val="32"/>
        </w:rPr>
        <w:t xml:space="preserve"> </w:t>
      </w:r>
      <w:r>
        <w:rPr>
          <w:rFonts w:hint="eastAsia" w:ascii="方正仿宋_GBK" w:eastAsia="方正仿宋_GBK"/>
          <w:sz w:val="32"/>
          <w:szCs w:val="32"/>
        </w:rPr>
        <w:t>83.22万元，下降 96.2%，主要原因是支付了马鞍山老旧居住区整治项目等上年结转资金。</w:t>
      </w:r>
    </w:p>
    <w:p w14:paraId="0C73BC8B">
      <w:pPr>
        <w:pStyle w:val="5"/>
        <w:widowControl w:val="0"/>
        <w:shd w:val="clear" w:color="auto" w:fill="FFFFFF"/>
        <w:spacing w:before="0" w:beforeAutospacing="0" w:after="0" w:afterAutospacing="0" w:line="560" w:lineRule="exact"/>
        <w:ind w:firstLine="643" w:firstLineChars="200"/>
        <w:jc w:val="both"/>
        <w:rPr>
          <w:rFonts w:ascii="楷体" w:hAnsi="楷体" w:eastAsia="楷体"/>
          <w:b/>
          <w:sz w:val="32"/>
          <w:szCs w:val="32"/>
        </w:rPr>
      </w:pPr>
      <w:r>
        <w:rPr>
          <w:rFonts w:hint="eastAsia" w:ascii="楷体" w:hAnsi="楷体" w:eastAsia="楷体"/>
          <w:b/>
          <w:sz w:val="32"/>
          <w:szCs w:val="32"/>
        </w:rPr>
        <w:t>4.比较情况</w:t>
      </w:r>
    </w:p>
    <w:p w14:paraId="71B72DF1">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本部门2020年度一般公共预算财政拨款支出主要用于以下几个方面：</w:t>
      </w:r>
      <w:r>
        <w:rPr>
          <w:rFonts w:ascii="方正仿宋_GBK" w:eastAsia="方正仿宋_GBK"/>
          <w:color w:val="FF0000"/>
          <w:sz w:val="32"/>
          <w:szCs w:val="32"/>
        </w:rPr>
        <w:t xml:space="preserve"> </w:t>
      </w:r>
    </w:p>
    <w:p w14:paraId="16B04565">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1）一般公共服务支出1410.3万元，占32.3%，较年初预算数增加124.55万元，增长9.7%，主要原因是年中追加下达人大代表活动费及代表之家建设管理经费、村居工作经费、老党员及困难元旦春节七一慰问经费、信访重点人员稳控经费等。</w:t>
      </w:r>
    </w:p>
    <w:p w14:paraId="6173A5B2">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（2）科学技术支出1万元，占0.02%，较年初预算数增加1万元，主要原因是年中追加下达一天门社区科普大学等经费。</w:t>
      </w:r>
    </w:p>
    <w:p w14:paraId="51FE1942">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（3）文化旅游体育与传媒支出66.03万元，占1.5%，较年初预算数增加25.37万元，增长或下降</w:t>
      </w:r>
      <w:r>
        <w:rPr>
          <w:rFonts w:hint="eastAsia" w:ascii="方正仿宋_GBK" w:eastAsia="方正仿宋_GBK"/>
          <w:color w:val="FF0000"/>
          <w:sz w:val="32"/>
          <w:szCs w:val="32"/>
        </w:rPr>
        <w:t xml:space="preserve"> </w:t>
      </w:r>
      <w:r>
        <w:rPr>
          <w:rFonts w:hint="eastAsia" w:ascii="方正仿宋_GBK" w:eastAsia="方正仿宋_GBK"/>
          <w:sz w:val="32"/>
          <w:szCs w:val="32"/>
        </w:rPr>
        <w:t>62.4%，主要原因是年中追加下达创建国家公共文化服务体系示范区示范点建设资金、公共文化免费开放补助经费、新时代文明实践中心建设试点项目经费、公共服务文化服务体系建设绩效奖励资金等。</w:t>
      </w:r>
    </w:p>
    <w:p w14:paraId="23382FB8">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4）社会保障与就业支出1572.77万元，占36.0%，较年初预算数增加338.31万元，增长26.6%，主要原因是年中追加下达国有企业退休人员社会化管理补助资金、基层社区建设资金、居务监督委员会成员补贴、民政以奖代补资金、民政政策性资金等。</w:t>
      </w:r>
    </w:p>
    <w:p w14:paraId="228FAB2E">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（5）卫生健康支出95.41万元，占2%，较年初预算数增加40.09万元，增长72.5%，主要原因是年中追加下达新型冠状病毒感染的肺炎疫情防控中央补助资金、独生子女父母奖励金、军人事务政策性资金等。</w:t>
      </w:r>
    </w:p>
    <w:p w14:paraId="0E9351E4">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（6）城乡社区支出1058.73万元，占24.2%，较年初预算数增加123.13万元，增长13.2%，主要原因是年中追加下达街镇生活垃圾分类建设经费、一线环卫工人慰问经费、路内停车管理专项经费等。</w:t>
      </w:r>
    </w:p>
    <w:p w14:paraId="2A1B60F1">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（7）农林水支出64万元，占1.5%，较年初预算数增加64万元，主要原因是年中追加下达防汛抢险和灾后重建补助经费。</w:t>
      </w:r>
    </w:p>
    <w:p w14:paraId="50827BBE">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（8）住房保障支出102.02万元，占2.3%，较年初预算数增加64.87万元，增长174.6%，主要原因是年中追加下达住房公积金、住房补贴、</w:t>
      </w:r>
      <w:r>
        <w:rPr>
          <w:rFonts w:ascii="方正仿宋_GBK" w:eastAsia="方正仿宋_GBK"/>
          <w:sz w:val="32"/>
          <w:szCs w:val="32"/>
        </w:rPr>
        <w:t>城镇老旧小区改造项目资金</w:t>
      </w:r>
      <w:r>
        <w:rPr>
          <w:rFonts w:hint="eastAsia" w:ascii="方正仿宋_GBK" w:eastAsia="方正仿宋_GBK"/>
          <w:sz w:val="32"/>
          <w:szCs w:val="32"/>
        </w:rPr>
        <w:t>等。</w:t>
      </w:r>
    </w:p>
    <w:p w14:paraId="01C1A163">
      <w:pPr>
        <w:pStyle w:val="5"/>
        <w:shd w:val="clear" w:color="auto" w:fill="FFFFFF"/>
        <w:spacing w:before="0" w:beforeAutospacing="0" w:after="0" w:afterAutospacing="0" w:line="560" w:lineRule="exact"/>
        <w:ind w:firstLine="643" w:firstLineChars="200"/>
        <w:jc w:val="both"/>
        <w:outlineLvl w:val="0"/>
        <w:rPr>
          <w:rFonts w:ascii="楷体" w:hAnsi="楷体" w:eastAsia="楷体"/>
          <w:sz w:val="32"/>
          <w:szCs w:val="32"/>
        </w:rPr>
      </w:pPr>
      <w:r>
        <w:rPr>
          <w:rStyle w:val="8"/>
          <w:rFonts w:hint="eastAsia" w:ascii="楷体" w:hAnsi="楷体" w:eastAsia="楷体"/>
          <w:sz w:val="32"/>
          <w:szCs w:val="32"/>
        </w:rPr>
        <w:t>（四）一般公共预算财政拨款基本支出决算情况说明</w:t>
      </w:r>
    </w:p>
    <w:p w14:paraId="2AA73CB7">
      <w:pPr>
        <w:pStyle w:val="5"/>
        <w:shd w:val="clear" w:color="auto" w:fill="FFFFFF"/>
        <w:spacing w:before="0" w:beforeAutospacing="0" w:after="0" w:afterAutospacing="0" w:line="600" w:lineRule="exact"/>
        <w:ind w:firstLine="640"/>
        <w:jc w:val="both"/>
        <w:rPr>
          <w:rFonts w:ascii="方正仿宋_GBK" w:eastAsia="方正仿宋_GBK"/>
          <w:sz w:val="32"/>
          <w:szCs w:val="32"/>
        </w:rPr>
      </w:pPr>
      <w:r>
        <w:rPr>
          <w:rFonts w:hint="eastAsia" w:ascii="方正仿宋_GBK" w:eastAsia="方正仿宋_GBK"/>
          <w:sz w:val="32"/>
          <w:szCs w:val="32"/>
        </w:rPr>
        <w:t>2020年度一般公共财政拨款基本支出1178.55万元。其中：人员经费833.29万元，较上年决算数增加75.03万元，增长9.9%，主要原因是在编人员净增加8人。人员经费用途主要包括基本工资、津贴补贴、奖金、社会保障缴费、绩效工资、其他工资福利支出、退休费、生活补助、住房公积金、公务员医疗补助等。公用经费345.26万元，较上年决算数增加132.88万元，增长62.6%，主要原因：一是在编人员净增加8人，公用经费相应增加；二是部分商品价格上涨。公用经费用途主要包括办公费、印刷费、水费、电费、邮电费、差旅费、劳务费、公务接待费、公务用车运行维护费等。</w:t>
      </w:r>
    </w:p>
    <w:p w14:paraId="46A5F1E8">
      <w:pPr>
        <w:pStyle w:val="5"/>
        <w:shd w:val="clear" w:color="auto" w:fill="FFFFFF"/>
        <w:spacing w:before="0" w:beforeAutospacing="0" w:after="0" w:afterAutospacing="0" w:line="560" w:lineRule="exact"/>
        <w:ind w:firstLine="643" w:firstLineChars="200"/>
        <w:jc w:val="both"/>
        <w:outlineLvl w:val="0"/>
        <w:rPr>
          <w:rStyle w:val="8"/>
          <w:rFonts w:ascii="楷体" w:hAnsi="楷体" w:eastAsia="楷体"/>
        </w:rPr>
      </w:pPr>
      <w:r>
        <w:rPr>
          <w:rStyle w:val="8"/>
          <w:rFonts w:hint="eastAsia" w:ascii="楷体" w:hAnsi="楷体" w:eastAsia="楷体"/>
          <w:sz w:val="32"/>
          <w:szCs w:val="32"/>
        </w:rPr>
        <w:t>（五）政府性基金预算收支决算情况说明</w:t>
      </w:r>
    </w:p>
    <w:p w14:paraId="2E7440E1">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2020年度政府性基金预算财政拨款年初结转结余0万元，年末结转结余0万元。本年收入112.2万元，较上年决算数增加54.26万元，增长93.6%，主要原因是年中追加下达新冠肺炎疫情防控特别国债资金、社区养老服务设施</w:t>
      </w:r>
      <w:r>
        <w:rPr>
          <w:rFonts w:ascii="方正仿宋_GBK" w:eastAsia="方正仿宋_GBK"/>
          <w:sz w:val="32"/>
          <w:szCs w:val="32"/>
        </w:rPr>
        <w:t>运营补贴资金</w:t>
      </w:r>
      <w:r>
        <w:rPr>
          <w:rFonts w:hint="eastAsia" w:ascii="方正仿宋_GBK" w:eastAsia="方正仿宋_GBK"/>
          <w:sz w:val="32"/>
          <w:szCs w:val="32"/>
        </w:rPr>
        <w:t>等。本年支出112.2万元，较上年决算数增加54.26万元，增长93.6%，主要原因是年中追加下达新冠肺炎疫情防控特别国债资金、社区养老服务设施</w:t>
      </w:r>
      <w:r>
        <w:rPr>
          <w:rFonts w:ascii="方正仿宋_GBK" w:eastAsia="方正仿宋_GBK"/>
          <w:sz w:val="32"/>
          <w:szCs w:val="32"/>
        </w:rPr>
        <w:t>运营补贴资金</w:t>
      </w:r>
      <w:r>
        <w:rPr>
          <w:rFonts w:hint="eastAsia" w:ascii="方正仿宋_GBK" w:eastAsia="方正仿宋_GBK"/>
          <w:sz w:val="32"/>
          <w:szCs w:val="32"/>
        </w:rPr>
        <w:t>等。</w:t>
      </w:r>
    </w:p>
    <w:p w14:paraId="4899C554">
      <w:pPr>
        <w:pStyle w:val="5"/>
        <w:shd w:val="clear" w:color="auto" w:fill="FFFFFF"/>
        <w:spacing w:before="0" w:beforeAutospacing="0" w:after="0" w:afterAutospacing="0" w:line="560" w:lineRule="exact"/>
        <w:ind w:firstLine="643" w:firstLineChars="200"/>
        <w:jc w:val="both"/>
        <w:outlineLvl w:val="0"/>
        <w:rPr>
          <w:rFonts w:ascii="楷体" w:hAnsi="楷体" w:eastAsia="楷体"/>
          <w:b/>
          <w:bCs/>
          <w:sz w:val="32"/>
          <w:szCs w:val="32"/>
        </w:rPr>
      </w:pPr>
      <w:r>
        <w:rPr>
          <w:rStyle w:val="8"/>
          <w:rFonts w:hint="eastAsia" w:ascii="楷体" w:hAnsi="楷体" w:eastAsia="楷体"/>
          <w:sz w:val="32"/>
          <w:szCs w:val="32"/>
        </w:rPr>
        <w:t>（六）国有资本经营预算财政拨款支出决算情况说明</w:t>
      </w:r>
    </w:p>
    <w:p w14:paraId="72B04AEB">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本部门2020年度无国有资本经营预算财政拨款支出。</w:t>
      </w:r>
    </w:p>
    <w:p w14:paraId="54A38195">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rPr>
      </w:pPr>
      <w:r>
        <w:rPr>
          <w:rStyle w:val="8"/>
          <w:rFonts w:hint="eastAsia" w:ascii="方正黑体_GBK" w:eastAsia="方正黑体_GBK"/>
          <w:b w:val="0"/>
          <w:sz w:val="32"/>
          <w:szCs w:val="32"/>
        </w:rPr>
        <w:t>三、“三公”经费情况说明</w:t>
      </w:r>
    </w:p>
    <w:p w14:paraId="25B522E6">
      <w:pPr>
        <w:pStyle w:val="5"/>
        <w:shd w:val="clear" w:color="auto" w:fill="FFFFFF"/>
        <w:spacing w:before="0" w:beforeAutospacing="0" w:after="0" w:afterAutospacing="0" w:line="560" w:lineRule="exact"/>
        <w:ind w:firstLine="643" w:firstLineChars="200"/>
        <w:jc w:val="both"/>
        <w:outlineLvl w:val="1"/>
        <w:rPr>
          <w:rFonts w:ascii="楷体" w:hAnsi="楷体" w:eastAsia="楷体"/>
          <w:sz w:val="32"/>
          <w:szCs w:val="32"/>
        </w:rPr>
      </w:pPr>
      <w:r>
        <w:rPr>
          <w:rStyle w:val="8"/>
          <w:rFonts w:hint="eastAsia" w:ascii="楷体" w:hAnsi="楷体" w:eastAsia="楷体"/>
          <w:sz w:val="32"/>
          <w:szCs w:val="32"/>
        </w:rPr>
        <w:t>（一）“三公”经费支出总体情况说明</w:t>
      </w:r>
    </w:p>
    <w:p w14:paraId="23DBA8AD">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2020年度“三公”经费支出共计13.2万元，较年初预算数减少11.8万元，下降 47.2%，主要原因:一是认真贯彻落实中央八项规定精神，按照只减不增的要求从严控制“三公”经费，全年实际支出较年初预算和上年决算均有所下降；二是强化公务接待支出管理，严格遵守公务接待开支范围和开支标准，严格控制陪餐人数，公务接待费大幅下降；三是进一步规范因公出国（境）活动，今年未安排人员出国出访。较上年支出数增加0.7万元，增长5.6%，主要</w:t>
      </w:r>
      <w:r>
        <w:rPr>
          <w:rFonts w:hint="eastAsia" w:ascii="方正仿宋_GBK" w:eastAsia="方正仿宋_GBK"/>
          <w:sz w:val="32"/>
          <w:szCs w:val="32"/>
          <w:lang w:eastAsia="zh-CN"/>
        </w:rPr>
        <w:t>原因是</w:t>
      </w:r>
      <w:r>
        <w:rPr>
          <w:rFonts w:hint="eastAsia" w:ascii="方正仿宋_GBK" w:eastAsia="方正仿宋_GBK"/>
          <w:sz w:val="32"/>
          <w:szCs w:val="32"/>
        </w:rPr>
        <w:t>公务车使用年限较长，车辆维修费较上年有所增加。</w:t>
      </w:r>
    </w:p>
    <w:p w14:paraId="08A268F2">
      <w:pPr>
        <w:pStyle w:val="5"/>
        <w:shd w:val="clear" w:color="auto" w:fill="FFFFFF"/>
        <w:spacing w:before="0" w:beforeAutospacing="0" w:after="0" w:afterAutospacing="0" w:line="560" w:lineRule="exact"/>
        <w:ind w:firstLine="643" w:firstLineChars="200"/>
        <w:jc w:val="both"/>
        <w:outlineLvl w:val="1"/>
        <w:rPr>
          <w:rFonts w:ascii="楷体" w:hAnsi="楷体" w:eastAsia="楷体"/>
          <w:sz w:val="32"/>
          <w:szCs w:val="32"/>
        </w:rPr>
      </w:pPr>
      <w:r>
        <w:rPr>
          <w:rStyle w:val="8"/>
          <w:rFonts w:hint="eastAsia" w:ascii="楷体" w:hAnsi="楷体" w:eastAsia="楷体"/>
          <w:sz w:val="32"/>
          <w:szCs w:val="32"/>
        </w:rPr>
        <w:t>（二）“三公”经费分项支出情况</w:t>
      </w:r>
    </w:p>
    <w:p w14:paraId="297ED713">
      <w:pPr>
        <w:pStyle w:val="5"/>
        <w:shd w:val="clear" w:color="auto" w:fill="FFFFFF"/>
        <w:spacing w:before="0" w:beforeAutospacing="0" w:after="0" w:afterAutospacing="0" w:line="560" w:lineRule="exact"/>
        <w:ind w:firstLine="800" w:firstLineChars="250"/>
        <w:jc w:val="both"/>
        <w:rPr>
          <w:rFonts w:ascii="方正仿宋_GBK" w:eastAsia="方正仿宋_GBK"/>
          <w:sz w:val="32"/>
          <w:szCs w:val="32"/>
        </w:rPr>
      </w:pPr>
      <w:r>
        <w:rPr>
          <w:rFonts w:hint="eastAsia" w:ascii="方正仿宋_GBK" w:eastAsia="方正仿宋_GBK"/>
          <w:sz w:val="32"/>
          <w:szCs w:val="32"/>
        </w:rPr>
        <w:t>本单位2020年度未发生因公出国（境）支出。费用支出较年初预算数增加0万元，主要原因是今年未安排因公出国（境）支出。较上年支出数减少 1.75万元，下降 100%，主要原因是进一步规范因公出国（境）活动，今年未安排人员出国出访。</w:t>
      </w:r>
    </w:p>
    <w:p w14:paraId="42C1DAE0">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本单位2019年度未发生公务车购置支出。费用支出较年初预算数增加0万元；较上年支出数增加0万元。主要原因是2019年度、2020年度均未安排公务车购置。</w:t>
      </w:r>
    </w:p>
    <w:p w14:paraId="0090078B">
      <w:pPr>
        <w:pStyle w:val="5"/>
        <w:shd w:val="clear" w:color="auto" w:fill="FFFFFF"/>
        <w:spacing w:before="0" w:beforeAutospacing="0" w:after="0" w:afterAutospacing="0" w:line="600" w:lineRule="exact"/>
        <w:ind w:firstLine="640"/>
        <w:jc w:val="both"/>
        <w:rPr>
          <w:rFonts w:ascii="方正仿宋_GBK" w:eastAsia="方正仿宋_GBK"/>
          <w:sz w:val="32"/>
          <w:szCs w:val="32"/>
        </w:rPr>
      </w:pPr>
      <w:r>
        <w:rPr>
          <w:rFonts w:hint="eastAsia" w:ascii="方正仿宋_GBK" w:eastAsia="方正仿宋_GBK"/>
          <w:sz w:val="32"/>
          <w:szCs w:val="32"/>
        </w:rPr>
        <w:t>公务车运行维护费13.15万元，主要用于因公出行、业务检查等工作所需车辆的燃料费、维修费、过桥过路费、保险费等。费用支出较年初预算数减少 8.85万元，下降 40.2%。主要原因是严格落实公车使用规定，严禁公车私用，公车运行维护支出较年初预算有所下降。较上年支出数增加2.55万元，增长 24.1%。主要</w:t>
      </w:r>
      <w:r>
        <w:rPr>
          <w:rFonts w:hint="eastAsia" w:ascii="方正仿宋_GBK" w:eastAsia="方正仿宋_GBK"/>
          <w:sz w:val="32"/>
          <w:szCs w:val="32"/>
          <w:lang w:eastAsia="zh-CN"/>
        </w:rPr>
        <w:t>原因是</w:t>
      </w:r>
      <w:r>
        <w:rPr>
          <w:rFonts w:hint="eastAsia" w:ascii="方正仿宋_GBK" w:eastAsia="方正仿宋_GBK"/>
          <w:sz w:val="32"/>
          <w:szCs w:val="32"/>
        </w:rPr>
        <w:t>公务车使用年限较长，车辆维修费较上年有所增加。</w:t>
      </w:r>
    </w:p>
    <w:p w14:paraId="709714F4">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公务接待费0.06万元，主要用于创新社会治理交流考察发生的接待支出。费用支出较年初预算数减少 2.94万元，下降 98.0%；较上年支出数减少0.1万元，下降 62.5%。较年初预算和上年决算下降的主要原因是强化公务接待支出管理，严格遵守公务接待开支范围和开支标准，严格控制陪餐人数，公务接待费大幅下降。</w:t>
      </w:r>
    </w:p>
    <w:p w14:paraId="7EC725B8">
      <w:pPr>
        <w:pStyle w:val="5"/>
        <w:shd w:val="clear" w:color="auto" w:fill="FFFFFF"/>
        <w:spacing w:before="0" w:beforeAutospacing="0" w:after="0" w:afterAutospacing="0" w:line="560" w:lineRule="exact"/>
        <w:ind w:firstLine="643" w:firstLineChars="200"/>
        <w:jc w:val="both"/>
        <w:outlineLvl w:val="1"/>
        <w:rPr>
          <w:rFonts w:ascii="楷体" w:hAnsi="楷体" w:eastAsia="楷体"/>
          <w:sz w:val="32"/>
          <w:szCs w:val="32"/>
        </w:rPr>
      </w:pPr>
      <w:r>
        <w:rPr>
          <w:rStyle w:val="8"/>
          <w:rFonts w:hint="eastAsia" w:ascii="楷体" w:hAnsi="楷体" w:eastAsia="楷体"/>
          <w:sz w:val="32"/>
          <w:szCs w:val="32"/>
        </w:rPr>
        <w:t>（三）“三公”经费实物量情况</w:t>
      </w:r>
    </w:p>
    <w:p w14:paraId="11CD108A">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因公出国（境）共计0个团组，0人；公务用车购置0辆，公务车保有量为5辆；国内公务接待1批次14人，其中：国内外事接待0批次，0人；国（境）外公务接待0批次，0人。2019年本部门人均接待费43元，车均购置费0万元，车均维护费2.63万元。</w:t>
      </w:r>
    </w:p>
    <w:p w14:paraId="1227BA93">
      <w:pPr>
        <w:pStyle w:val="5"/>
        <w:shd w:val="clear" w:color="auto" w:fill="FFFFFF"/>
        <w:spacing w:before="0" w:beforeAutospacing="0" w:after="0" w:afterAutospacing="0" w:line="560" w:lineRule="exact"/>
        <w:ind w:firstLine="640" w:firstLineChars="200"/>
        <w:jc w:val="both"/>
        <w:outlineLvl w:val="0"/>
        <w:rPr>
          <w:rStyle w:val="8"/>
        </w:rPr>
      </w:pPr>
      <w:r>
        <w:rPr>
          <w:rStyle w:val="8"/>
          <w:rFonts w:hint="eastAsia" w:ascii="方正黑体_GBK" w:eastAsia="方正黑体_GBK"/>
          <w:b w:val="0"/>
          <w:sz w:val="32"/>
          <w:szCs w:val="32"/>
        </w:rPr>
        <w:t>四、其他需要说明的事项</w:t>
      </w:r>
    </w:p>
    <w:p w14:paraId="2F572BE5">
      <w:pPr>
        <w:pStyle w:val="5"/>
        <w:widowControl w:val="0"/>
        <w:shd w:val="clear" w:color="auto" w:fill="FFFFFF"/>
        <w:spacing w:before="0" w:beforeAutospacing="0" w:after="0" w:afterAutospacing="0" w:line="560" w:lineRule="exact"/>
        <w:ind w:firstLine="643" w:firstLineChars="200"/>
        <w:jc w:val="both"/>
        <w:rPr>
          <w:rStyle w:val="8"/>
          <w:rFonts w:ascii="楷体" w:hAnsi="楷体" w:eastAsia="楷体"/>
          <w:sz w:val="32"/>
          <w:szCs w:val="32"/>
        </w:rPr>
      </w:pPr>
      <w:r>
        <w:rPr>
          <w:rStyle w:val="8"/>
          <w:rFonts w:hint="eastAsia" w:ascii="楷体" w:hAnsi="楷体" w:eastAsia="楷体"/>
          <w:sz w:val="32"/>
          <w:szCs w:val="32"/>
        </w:rPr>
        <w:t>（一）机关运行经费情况说明</w:t>
      </w:r>
    </w:p>
    <w:p w14:paraId="121559DC">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2020年度本部门机关运行经费支出</w:t>
      </w:r>
      <w:r>
        <w:rPr>
          <w:rFonts w:ascii="方正仿宋_GBK" w:eastAsia="方正仿宋_GBK"/>
          <w:sz w:val="32"/>
          <w:szCs w:val="32"/>
        </w:rPr>
        <w:t>345.26</w:t>
      </w:r>
      <w:r>
        <w:rPr>
          <w:rFonts w:hint="eastAsia" w:ascii="方正仿宋_GBK" w:eastAsia="方正仿宋_GBK"/>
          <w:sz w:val="32"/>
          <w:szCs w:val="32"/>
        </w:rPr>
        <w:t>万元，机关运行经费主要用于开支办公费、水电费、邮电费、公务车运行维护费、差旅费等。机关运行经费较上年决算数增加132.88万元，增长62.6%，主要原因：一是在编人员净增加8人，公用经费支出相应增加；二是部分商品价格上涨。</w:t>
      </w:r>
    </w:p>
    <w:p w14:paraId="32071265">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其中：本年度会议费支出2.2万元，较上年决算数增加0.85万元，增长 63.0%，主要</w:t>
      </w:r>
      <w:bookmarkStart w:id="0" w:name="_GoBack"/>
      <w:bookmarkEnd w:id="0"/>
      <w:r>
        <w:rPr>
          <w:rFonts w:hint="eastAsia" w:ascii="方正仿宋_GBK" w:eastAsia="方正仿宋_GBK"/>
          <w:sz w:val="32"/>
          <w:szCs w:val="32"/>
          <w:lang w:eastAsia="zh-CN"/>
        </w:rPr>
        <w:t>原因是</w:t>
      </w:r>
      <w:r>
        <w:rPr>
          <w:rFonts w:hint="eastAsia" w:ascii="方正仿宋_GBK" w:eastAsia="方正仿宋_GBK"/>
          <w:sz w:val="32"/>
          <w:szCs w:val="32"/>
        </w:rPr>
        <w:t>多次召开抗洪抢险、文明城区复检等工作会议，会议费较上年有所增加。本年度培训费支出1.16万元，较上年决算数减少 3.31万元，减少74.0%，主要原因是根据新冠疫情防控要求，参加相关培训人次大幅下降。</w:t>
      </w:r>
    </w:p>
    <w:p w14:paraId="6B608CD3">
      <w:pPr>
        <w:widowControl w:val="0"/>
        <w:spacing w:line="560" w:lineRule="exact"/>
        <w:ind w:firstLine="643" w:firstLineChars="200"/>
        <w:jc w:val="both"/>
        <w:rPr>
          <w:rStyle w:val="8"/>
          <w:rFonts w:ascii="楷体" w:hAnsi="楷体" w:eastAsia="楷体"/>
          <w:sz w:val="32"/>
          <w:szCs w:val="32"/>
        </w:rPr>
      </w:pPr>
      <w:r>
        <w:rPr>
          <w:rStyle w:val="8"/>
          <w:rFonts w:hint="eastAsia" w:ascii="楷体" w:hAnsi="楷体" w:eastAsia="楷体"/>
          <w:sz w:val="32"/>
          <w:szCs w:val="32"/>
        </w:rPr>
        <w:t>（二）国有资产占用情况说明</w:t>
      </w:r>
    </w:p>
    <w:p w14:paraId="5963F11F">
      <w:pPr>
        <w:widowControl w:val="0"/>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截至2020年12月31日，本部门共有车辆5辆，其中，副部（省）级及以上领导用车0辆、主要领导干部用车0辆、机要通信用车0辆、应急保障用车5辆、执法执勤用车0辆，特种专业技术用车0辆，离退休干部用车0辆，其他用车0辆。单价50万元（含）以上通用设备0台（套），单价100万元（含）以上专用设备0台（套）。</w:t>
      </w:r>
    </w:p>
    <w:p w14:paraId="5C15EBD0">
      <w:pPr>
        <w:pStyle w:val="5"/>
        <w:shd w:val="clear" w:color="auto" w:fill="FFFFFF"/>
        <w:spacing w:before="0" w:beforeAutospacing="0" w:after="0" w:afterAutospacing="0" w:line="560" w:lineRule="exact"/>
        <w:ind w:firstLine="643" w:firstLineChars="200"/>
        <w:jc w:val="both"/>
        <w:rPr>
          <w:rStyle w:val="8"/>
          <w:rFonts w:ascii="楷体" w:hAnsi="楷体" w:eastAsia="楷体"/>
          <w:sz w:val="32"/>
          <w:szCs w:val="32"/>
        </w:rPr>
      </w:pPr>
      <w:r>
        <w:rPr>
          <w:rStyle w:val="8"/>
          <w:rFonts w:hint="eastAsia" w:ascii="楷体" w:hAnsi="楷体" w:eastAsia="楷体"/>
          <w:sz w:val="32"/>
          <w:szCs w:val="32"/>
        </w:rPr>
        <w:t>（三）政府采购支出情况说明</w:t>
      </w:r>
    </w:p>
    <w:p w14:paraId="3ADB5F84">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2020年度本部门政府采购支出总额</w:t>
      </w:r>
      <w:r>
        <w:rPr>
          <w:rFonts w:ascii="方正仿宋_GBK" w:eastAsia="方正仿宋_GBK"/>
          <w:sz w:val="32"/>
          <w:szCs w:val="32"/>
        </w:rPr>
        <w:t>123.98</w:t>
      </w:r>
      <w:r>
        <w:rPr>
          <w:rFonts w:hint="eastAsia" w:ascii="方正仿宋_GBK" w:eastAsia="方正仿宋_GBK"/>
          <w:sz w:val="32"/>
          <w:szCs w:val="32"/>
        </w:rPr>
        <w:t>万元，其中：政府采购货物支出0万元、政府采购工程支出0万元、政府采购服务支出</w:t>
      </w:r>
      <w:r>
        <w:rPr>
          <w:rFonts w:ascii="方正仿宋_GBK" w:eastAsia="方正仿宋_GBK"/>
          <w:sz w:val="32"/>
          <w:szCs w:val="32"/>
        </w:rPr>
        <w:t>123.98</w:t>
      </w:r>
      <w:r>
        <w:rPr>
          <w:rFonts w:hint="eastAsia" w:ascii="方正仿宋_GBK" w:eastAsia="方正仿宋_GBK"/>
          <w:sz w:val="32"/>
          <w:szCs w:val="32"/>
        </w:rPr>
        <w:t>万元。授予中小企业合同金额</w:t>
      </w:r>
      <w:r>
        <w:rPr>
          <w:rFonts w:ascii="方正仿宋_GBK" w:eastAsia="方正仿宋_GBK"/>
          <w:sz w:val="32"/>
          <w:szCs w:val="32"/>
        </w:rPr>
        <w:t>123.98</w:t>
      </w:r>
      <w:r>
        <w:rPr>
          <w:rFonts w:hint="eastAsia" w:ascii="方正仿宋_GBK" w:eastAsia="方正仿宋_GBK"/>
          <w:sz w:val="32"/>
          <w:szCs w:val="32"/>
        </w:rPr>
        <w:t>万元，占政府采购支出总额的100%，其中：授予小微企业合同金额0万元，占政府采购支出总额的0%。主要用于采购机关食堂食材配送服务及龙门路老旧小区整治设计服务等。</w:t>
      </w:r>
    </w:p>
    <w:p w14:paraId="66BAAFB3">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rPr>
      </w:pPr>
      <w:r>
        <w:rPr>
          <w:rStyle w:val="8"/>
          <w:rFonts w:hint="eastAsia" w:ascii="方正黑体_GBK" w:eastAsia="方正黑体_GBK"/>
          <w:b w:val="0"/>
          <w:sz w:val="32"/>
          <w:szCs w:val="32"/>
        </w:rPr>
        <w:t>五、预算绩效管理情况说明</w:t>
      </w:r>
    </w:p>
    <w:p w14:paraId="53F9AF68">
      <w:pPr>
        <w:pStyle w:val="5"/>
        <w:shd w:val="clear" w:color="auto" w:fill="FFFFFF"/>
        <w:spacing w:before="0" w:beforeAutospacing="0" w:after="0" w:afterAutospacing="0" w:line="560" w:lineRule="exact"/>
        <w:ind w:firstLine="643" w:firstLineChars="200"/>
        <w:jc w:val="both"/>
        <w:rPr>
          <w:rStyle w:val="8"/>
          <w:rFonts w:ascii="楷体" w:hAnsi="楷体" w:eastAsia="楷体"/>
          <w:sz w:val="32"/>
          <w:szCs w:val="32"/>
        </w:rPr>
      </w:pPr>
      <w:r>
        <w:rPr>
          <w:rStyle w:val="8"/>
          <w:rFonts w:hint="eastAsia" w:ascii="楷体" w:hAnsi="楷体" w:eastAsia="楷体"/>
          <w:sz w:val="32"/>
          <w:szCs w:val="32"/>
        </w:rPr>
        <w:t>（一）预算绩效管理工作开展情况</w:t>
      </w:r>
    </w:p>
    <w:p w14:paraId="6358B304">
      <w:pPr>
        <w:ind w:firstLine="640"/>
        <w:rPr>
          <w:rFonts w:ascii="仿宋_GB2312" w:hAnsi="仿宋" w:eastAsia="仿宋_GB2312"/>
          <w:sz w:val="32"/>
          <w:szCs w:val="32"/>
        </w:rPr>
      </w:pPr>
      <w:r>
        <w:rPr>
          <w:rFonts w:hint="eastAsia" w:ascii="方正仿宋_GBK" w:eastAsia="方正仿宋_GBK"/>
          <w:sz w:val="32"/>
          <w:szCs w:val="32"/>
        </w:rPr>
        <w:t>根据预算绩效管理要求，本部门对24个项目开展了绩效自评，其中以填报目标自评表形式开展自评24项，涉及资金3298.02万元；以委托第三方形式开展绩效自评0项，涉及资金0万元。从评价情况来看，各个</w:t>
      </w:r>
      <w:r>
        <w:rPr>
          <w:rFonts w:hint="eastAsia" w:ascii="仿宋_GB2312" w:hAnsi="仿宋" w:eastAsia="仿宋_GB2312"/>
          <w:sz w:val="32"/>
          <w:szCs w:val="32"/>
        </w:rPr>
        <w:t>项目支出均按照相关立项依据立项，项目支出专款专用，按项目实施进度计划执行，均完成项目当年绩效目标。</w:t>
      </w:r>
    </w:p>
    <w:p w14:paraId="5712AE75">
      <w:pPr>
        <w:pStyle w:val="12"/>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（二）绩效自评结果</w:t>
      </w:r>
    </w:p>
    <w:p w14:paraId="2D95FC15">
      <w:pPr>
        <w:autoSpaceDN w:val="0"/>
        <w:spacing w:line="594" w:lineRule="exact"/>
        <w:ind w:firstLine="630" w:firstLineChars="196"/>
        <w:rPr>
          <w:rFonts w:ascii="楷体" w:hAnsi="楷体" w:eastAsia="楷体"/>
          <w:b/>
          <w:bCs/>
          <w:color w:val="FF0000"/>
          <w:sz w:val="32"/>
          <w:szCs w:val="32"/>
        </w:rPr>
      </w:pPr>
      <w:r>
        <w:rPr>
          <w:rFonts w:hint="eastAsia" w:ascii="楷体" w:hAnsi="楷体" w:eastAsia="楷体"/>
          <w:b/>
          <w:sz w:val="32"/>
          <w:szCs w:val="32"/>
        </w:rPr>
        <w:t>1.绩效自评表</w:t>
      </w:r>
    </w:p>
    <w:tbl>
      <w:tblPr>
        <w:tblStyle w:val="6"/>
        <w:tblW w:w="9215" w:type="dxa"/>
        <w:tblInd w:w="-318" w:type="dxa"/>
        <w:tblLayout w:type="fixed"/>
        <w:tblCellMar>
          <w:top w:w="0" w:type="dxa"/>
          <w:left w:w="108" w:type="dxa"/>
          <w:bottom w:w="0" w:type="dxa"/>
          <w:right w:w="108" w:type="dxa"/>
        </w:tblCellMar>
      </w:tblPr>
      <w:tblGrid>
        <w:gridCol w:w="1002"/>
        <w:gridCol w:w="1267"/>
        <w:gridCol w:w="142"/>
        <w:gridCol w:w="425"/>
        <w:gridCol w:w="709"/>
        <w:gridCol w:w="709"/>
        <w:gridCol w:w="567"/>
        <w:gridCol w:w="141"/>
        <w:gridCol w:w="709"/>
        <w:gridCol w:w="142"/>
        <w:gridCol w:w="850"/>
        <w:gridCol w:w="851"/>
        <w:gridCol w:w="850"/>
        <w:gridCol w:w="851"/>
      </w:tblGrid>
      <w:tr w14:paraId="6F37FF3E">
        <w:tblPrEx>
          <w:tblCellMar>
            <w:top w:w="0" w:type="dxa"/>
            <w:left w:w="108" w:type="dxa"/>
            <w:bottom w:w="0" w:type="dxa"/>
            <w:right w:w="108" w:type="dxa"/>
          </w:tblCellMar>
        </w:tblPrEx>
        <w:trPr>
          <w:trHeight w:val="601" w:hRule="atLeast"/>
        </w:trPr>
        <w:tc>
          <w:tcPr>
            <w:tcW w:w="9215" w:type="dxa"/>
            <w:gridSpan w:val="14"/>
            <w:tcBorders>
              <w:top w:val="nil"/>
              <w:left w:val="nil"/>
              <w:bottom w:val="nil"/>
              <w:right w:val="nil"/>
            </w:tcBorders>
            <w:shd w:val="clear" w:color="auto" w:fill="auto"/>
            <w:vAlign w:val="center"/>
          </w:tcPr>
          <w:p w14:paraId="7C43D248">
            <w:pPr>
              <w:autoSpaceDN w:val="0"/>
              <w:rPr>
                <w:rFonts w:ascii="方正小标宋_GBK" w:eastAsia="方正小标宋_GBK"/>
                <w:color w:val="000000"/>
                <w:sz w:val="36"/>
                <w:szCs w:val="36"/>
              </w:rPr>
            </w:pPr>
          </w:p>
          <w:p w14:paraId="10C27E9B">
            <w:pPr>
              <w:autoSpaceDN w:val="0"/>
              <w:jc w:val="center"/>
              <w:rPr>
                <w:rFonts w:ascii="方正小标宋_GBK" w:hAnsi="Calibri" w:eastAsia="方正小标宋_GBK"/>
                <w:color w:val="000000"/>
                <w:sz w:val="36"/>
                <w:szCs w:val="36"/>
              </w:rPr>
            </w:pPr>
            <w:r>
              <w:rPr>
                <w:rFonts w:ascii="方正小标宋_GBK" w:eastAsia="方正小标宋_GBK"/>
                <w:color w:val="000000"/>
                <w:sz w:val="36"/>
                <w:szCs w:val="36"/>
              </w:rPr>
              <w:t>2020年预算项目绩效目标自评表</w:t>
            </w:r>
          </w:p>
        </w:tc>
      </w:tr>
      <w:tr w14:paraId="53090D3B">
        <w:tblPrEx>
          <w:tblCellMar>
            <w:top w:w="0" w:type="dxa"/>
            <w:left w:w="108" w:type="dxa"/>
            <w:bottom w:w="0" w:type="dxa"/>
            <w:right w:w="108" w:type="dxa"/>
          </w:tblCellMar>
        </w:tblPrEx>
        <w:trPr>
          <w:trHeight w:val="601"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14:paraId="6BF87C1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1834" w:type="dxa"/>
            <w:gridSpan w:val="3"/>
            <w:tcBorders>
              <w:top w:val="single" w:color="auto" w:sz="4" w:space="0"/>
              <w:left w:val="nil"/>
              <w:bottom w:val="single" w:color="auto" w:sz="4" w:space="0"/>
              <w:right w:val="single" w:color="000000" w:sz="4" w:space="0"/>
            </w:tcBorders>
            <w:shd w:val="clear" w:color="auto" w:fill="auto"/>
            <w:vAlign w:val="center"/>
          </w:tcPr>
          <w:p w14:paraId="7A424E7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民政政策性专项　</w:t>
            </w:r>
          </w:p>
        </w:tc>
        <w:tc>
          <w:tcPr>
            <w:tcW w:w="709" w:type="dxa"/>
            <w:tcBorders>
              <w:top w:val="single" w:color="auto" w:sz="4" w:space="0"/>
              <w:left w:val="nil"/>
              <w:bottom w:val="single" w:color="auto" w:sz="4" w:space="0"/>
              <w:right w:val="single" w:color="auto" w:sz="4" w:space="0"/>
            </w:tcBorders>
            <w:shd w:val="clear" w:color="auto" w:fill="auto"/>
            <w:vAlign w:val="center"/>
          </w:tcPr>
          <w:p w14:paraId="393649D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14:paraId="1CF870CF">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2020B1041</w:t>
            </w:r>
            <w:r>
              <w:rPr>
                <w:rFonts w:hint="eastAsia" w:ascii="方正仿宋_GBK" w:eastAsia="方正仿宋_GBK"/>
                <w:color w:val="000000"/>
                <w:sz w:val="18"/>
                <w:szCs w:val="18"/>
              </w:rPr>
              <w:t>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2888163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自评总分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3544" w:type="dxa"/>
            <w:gridSpan w:val="5"/>
            <w:tcBorders>
              <w:top w:val="single" w:color="auto" w:sz="4" w:space="0"/>
              <w:left w:val="nil"/>
              <w:bottom w:val="single" w:color="auto" w:sz="4" w:space="0"/>
              <w:right w:val="single" w:color="000000" w:sz="4" w:space="0"/>
            </w:tcBorders>
            <w:shd w:val="clear" w:color="auto" w:fill="auto"/>
            <w:vAlign w:val="center"/>
          </w:tcPr>
          <w:p w14:paraId="47DC180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98　</w:t>
            </w:r>
          </w:p>
        </w:tc>
      </w:tr>
      <w:tr w14:paraId="113F5BAD">
        <w:tblPrEx>
          <w:tblCellMar>
            <w:top w:w="0" w:type="dxa"/>
            <w:left w:w="108" w:type="dxa"/>
            <w:bottom w:w="0" w:type="dxa"/>
            <w:right w:w="108" w:type="dxa"/>
          </w:tblCellMar>
        </w:tblPrEx>
        <w:trPr>
          <w:trHeight w:val="601" w:hRule="atLeast"/>
        </w:trPr>
        <w:tc>
          <w:tcPr>
            <w:tcW w:w="1002" w:type="dxa"/>
            <w:tcBorders>
              <w:top w:val="nil"/>
              <w:left w:val="single" w:color="auto" w:sz="4" w:space="0"/>
              <w:bottom w:val="single" w:color="auto" w:sz="4" w:space="0"/>
              <w:right w:val="single" w:color="auto" w:sz="4" w:space="0"/>
            </w:tcBorders>
            <w:shd w:val="clear" w:color="auto" w:fill="auto"/>
            <w:vAlign w:val="center"/>
          </w:tcPr>
          <w:p w14:paraId="288BBAB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1834" w:type="dxa"/>
            <w:gridSpan w:val="3"/>
            <w:tcBorders>
              <w:top w:val="single" w:color="auto" w:sz="4" w:space="0"/>
              <w:left w:val="nil"/>
              <w:bottom w:val="single" w:color="auto" w:sz="4" w:space="0"/>
              <w:right w:val="single" w:color="000000" w:sz="4" w:space="0"/>
            </w:tcBorders>
            <w:shd w:val="clear" w:color="auto" w:fill="auto"/>
            <w:vAlign w:val="center"/>
          </w:tcPr>
          <w:p w14:paraId="495B6FE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重庆市南岸区人民政府龙门浩街道办事处</w:t>
            </w:r>
            <w:r>
              <w:rPr>
                <w:rFonts w:ascii="方正仿宋_GBK" w:eastAsia="方正仿宋_GBK"/>
                <w:color w:val="000000"/>
                <w:sz w:val="18"/>
                <w:szCs w:val="18"/>
              </w:rPr>
              <w:t>(机关)</w:t>
            </w:r>
            <w:r>
              <w:rPr>
                <w:rFonts w:hint="eastAsia" w:ascii="方正仿宋_GBK" w:eastAsia="方正仿宋_GBK"/>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26D4CF1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14:paraId="4E6534E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社保科　</w:t>
            </w:r>
          </w:p>
        </w:tc>
        <w:tc>
          <w:tcPr>
            <w:tcW w:w="850" w:type="dxa"/>
            <w:gridSpan w:val="2"/>
            <w:tcBorders>
              <w:top w:val="nil"/>
              <w:left w:val="nil"/>
              <w:bottom w:val="single" w:color="auto" w:sz="4" w:space="0"/>
              <w:right w:val="single" w:color="auto" w:sz="4" w:space="0"/>
            </w:tcBorders>
            <w:shd w:val="clear" w:color="auto" w:fill="auto"/>
            <w:vAlign w:val="center"/>
          </w:tcPr>
          <w:p w14:paraId="06EBA2E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联系人</w:t>
            </w:r>
          </w:p>
        </w:tc>
        <w:tc>
          <w:tcPr>
            <w:tcW w:w="992" w:type="dxa"/>
            <w:gridSpan w:val="2"/>
            <w:tcBorders>
              <w:top w:val="nil"/>
              <w:left w:val="nil"/>
              <w:bottom w:val="single" w:color="auto" w:sz="4" w:space="0"/>
              <w:right w:val="single" w:color="auto" w:sz="4" w:space="0"/>
            </w:tcBorders>
            <w:shd w:val="clear" w:color="auto" w:fill="auto"/>
            <w:vAlign w:val="center"/>
          </w:tcPr>
          <w:p w14:paraId="47B03D6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王锦霞　</w:t>
            </w:r>
          </w:p>
        </w:tc>
        <w:tc>
          <w:tcPr>
            <w:tcW w:w="851" w:type="dxa"/>
            <w:tcBorders>
              <w:top w:val="nil"/>
              <w:left w:val="nil"/>
              <w:bottom w:val="single" w:color="auto" w:sz="4" w:space="0"/>
              <w:right w:val="single" w:color="auto" w:sz="4" w:space="0"/>
            </w:tcBorders>
            <w:shd w:val="clear" w:color="auto" w:fill="auto"/>
            <w:vAlign w:val="center"/>
          </w:tcPr>
          <w:p w14:paraId="1F6C2D7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14:paraId="275586C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023-62835879　</w:t>
            </w:r>
          </w:p>
        </w:tc>
      </w:tr>
      <w:tr w14:paraId="666F7E1C">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2FBFC0E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1267" w:type="dxa"/>
            <w:tcBorders>
              <w:top w:val="nil"/>
              <w:left w:val="nil"/>
              <w:bottom w:val="single" w:color="auto" w:sz="4" w:space="0"/>
              <w:right w:val="nil"/>
            </w:tcBorders>
            <w:shd w:val="clear" w:color="auto" w:fill="auto"/>
            <w:vAlign w:val="center"/>
          </w:tcPr>
          <w:p w14:paraId="4687361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F59F38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77F1903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14:paraId="547ED16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851" w:type="dxa"/>
            <w:tcBorders>
              <w:top w:val="nil"/>
              <w:left w:val="nil"/>
              <w:bottom w:val="single" w:color="auto" w:sz="4" w:space="0"/>
              <w:right w:val="single" w:color="auto" w:sz="4" w:space="0"/>
            </w:tcBorders>
            <w:shd w:val="clear" w:color="auto" w:fill="auto"/>
            <w:vAlign w:val="center"/>
          </w:tcPr>
          <w:p w14:paraId="55B4EA0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850" w:type="dxa"/>
            <w:tcBorders>
              <w:top w:val="nil"/>
              <w:left w:val="nil"/>
              <w:bottom w:val="single" w:color="auto" w:sz="4" w:space="0"/>
              <w:right w:val="single" w:color="auto" w:sz="4" w:space="0"/>
            </w:tcBorders>
            <w:shd w:val="clear" w:color="auto" w:fill="auto"/>
            <w:vAlign w:val="center"/>
          </w:tcPr>
          <w:p w14:paraId="646FC91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权重</w:t>
            </w:r>
          </w:p>
        </w:tc>
        <w:tc>
          <w:tcPr>
            <w:tcW w:w="851" w:type="dxa"/>
            <w:tcBorders>
              <w:top w:val="nil"/>
              <w:left w:val="nil"/>
              <w:bottom w:val="single" w:color="auto" w:sz="4" w:space="0"/>
              <w:right w:val="single" w:color="auto" w:sz="4" w:space="0"/>
            </w:tcBorders>
            <w:shd w:val="clear" w:color="auto" w:fill="auto"/>
            <w:vAlign w:val="center"/>
          </w:tcPr>
          <w:p w14:paraId="39B4316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r>
      <w:tr w14:paraId="747F6576">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14:paraId="22A54B17">
            <w:pPr>
              <w:rPr>
                <w:rFonts w:ascii="方正仿宋_GBK" w:hAnsi="Calibri" w:eastAsia="方正仿宋_GBK"/>
                <w:color w:val="000000"/>
                <w:sz w:val="18"/>
                <w:szCs w:val="18"/>
              </w:rPr>
            </w:pPr>
          </w:p>
        </w:tc>
        <w:tc>
          <w:tcPr>
            <w:tcW w:w="1267" w:type="dxa"/>
            <w:tcBorders>
              <w:top w:val="nil"/>
              <w:left w:val="nil"/>
              <w:bottom w:val="single" w:color="auto" w:sz="4" w:space="0"/>
              <w:right w:val="nil"/>
            </w:tcBorders>
            <w:shd w:val="clear" w:color="auto" w:fill="auto"/>
            <w:vAlign w:val="center"/>
          </w:tcPr>
          <w:p w14:paraId="1C9014F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56D1BB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r>
              <w:rPr>
                <w:rFonts w:ascii="方正仿宋_GBK" w:eastAsia="方正仿宋_GBK"/>
                <w:color w:val="000000"/>
                <w:sz w:val="18"/>
                <w:szCs w:val="18"/>
              </w:rPr>
              <w:t>958.83</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0769F09D">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958.83</w:t>
            </w:r>
            <w:r>
              <w:rPr>
                <w:rFonts w:hint="eastAsia" w:ascii="方正仿宋_GBK" w:eastAsia="方正仿宋_GBK"/>
                <w:color w:val="000000"/>
                <w:sz w:val="18"/>
                <w:szCs w:val="18"/>
              </w:rPr>
              <w:t>　</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14:paraId="3E8D866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r>
              <w:rPr>
                <w:rFonts w:ascii="方正仿宋_GBK" w:eastAsia="方正仿宋_GBK"/>
                <w:color w:val="000000"/>
                <w:sz w:val="18"/>
                <w:szCs w:val="18"/>
              </w:rPr>
              <w:t>958.83</w:t>
            </w:r>
          </w:p>
        </w:tc>
        <w:tc>
          <w:tcPr>
            <w:tcW w:w="851" w:type="dxa"/>
            <w:tcBorders>
              <w:top w:val="nil"/>
              <w:left w:val="nil"/>
              <w:bottom w:val="single" w:color="auto" w:sz="4" w:space="0"/>
              <w:right w:val="single" w:color="auto" w:sz="4" w:space="0"/>
            </w:tcBorders>
            <w:shd w:val="clear" w:color="auto" w:fill="auto"/>
            <w:vAlign w:val="center"/>
          </w:tcPr>
          <w:p w14:paraId="1A6F542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4C37B33C">
            <w:pPr>
              <w:autoSpaceDN w:val="0"/>
              <w:jc w:val="center"/>
              <w:rPr>
                <w:rFonts w:ascii="方正仿宋_GBK" w:hAnsi="Calibri" w:eastAsia="方正仿宋_GBK"/>
                <w:sz w:val="18"/>
                <w:szCs w:val="18"/>
              </w:rPr>
            </w:pPr>
            <w:r>
              <w:rPr>
                <w:rFonts w:hint="eastAsia" w:ascii="方正仿宋_GBK" w:eastAsia="方正仿宋_GBK"/>
                <w:sz w:val="18"/>
                <w:szCs w:val="18"/>
              </w:rPr>
              <w:t>10　</w:t>
            </w:r>
          </w:p>
        </w:tc>
        <w:tc>
          <w:tcPr>
            <w:tcW w:w="851" w:type="dxa"/>
            <w:tcBorders>
              <w:top w:val="nil"/>
              <w:left w:val="nil"/>
              <w:bottom w:val="single" w:color="auto" w:sz="4" w:space="0"/>
              <w:right w:val="single" w:color="auto" w:sz="4" w:space="0"/>
            </w:tcBorders>
            <w:shd w:val="clear" w:color="auto" w:fill="auto"/>
            <w:vAlign w:val="center"/>
          </w:tcPr>
          <w:p w14:paraId="48023EA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r>
      <w:tr w14:paraId="20F536D2">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14:paraId="06756222">
            <w:pPr>
              <w:rPr>
                <w:rFonts w:ascii="方正仿宋_GBK" w:hAnsi="Calibri" w:eastAsia="方正仿宋_GBK"/>
                <w:color w:val="000000"/>
                <w:sz w:val="18"/>
                <w:szCs w:val="18"/>
              </w:rPr>
            </w:pPr>
          </w:p>
        </w:tc>
        <w:tc>
          <w:tcPr>
            <w:tcW w:w="1267" w:type="dxa"/>
            <w:tcBorders>
              <w:top w:val="nil"/>
              <w:left w:val="nil"/>
              <w:bottom w:val="single" w:color="auto" w:sz="4" w:space="0"/>
              <w:right w:val="nil"/>
            </w:tcBorders>
            <w:shd w:val="clear" w:color="auto" w:fill="auto"/>
            <w:vAlign w:val="center"/>
          </w:tcPr>
          <w:p w14:paraId="60711CF2">
            <w:pPr>
              <w:wordWrap w:val="0"/>
              <w:autoSpaceDN w:val="0"/>
              <w:jc w:val="right"/>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8D030F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105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1D1050B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105　</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14:paraId="6BCAE2C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105　</w:t>
            </w:r>
          </w:p>
        </w:tc>
        <w:tc>
          <w:tcPr>
            <w:tcW w:w="851" w:type="dxa"/>
            <w:tcBorders>
              <w:top w:val="nil"/>
              <w:left w:val="nil"/>
              <w:bottom w:val="single" w:color="auto" w:sz="4" w:space="0"/>
              <w:right w:val="single" w:color="auto" w:sz="4" w:space="0"/>
            </w:tcBorders>
            <w:shd w:val="clear" w:color="auto" w:fill="auto"/>
            <w:vAlign w:val="center"/>
          </w:tcPr>
          <w:p w14:paraId="7DFBAC8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nil"/>
              <w:bottom w:val="single" w:color="auto" w:sz="4" w:space="0"/>
              <w:right w:val="single" w:color="auto" w:sz="4" w:space="0"/>
            </w:tcBorders>
            <w:shd w:val="clear" w:color="auto" w:fill="auto"/>
            <w:vAlign w:val="center"/>
          </w:tcPr>
          <w:p w14:paraId="1638B7A4">
            <w:pPr>
              <w:autoSpaceDN w:val="0"/>
              <w:jc w:val="center"/>
              <w:rPr>
                <w:rFonts w:ascii="方正仿宋_GBK" w:hAnsi="Calibri" w:eastAsia="方正仿宋_GBK"/>
                <w:color w:val="000000"/>
                <w:sz w:val="18"/>
                <w:szCs w:val="18"/>
              </w:rPr>
            </w:pPr>
          </w:p>
        </w:tc>
        <w:tc>
          <w:tcPr>
            <w:tcW w:w="851" w:type="dxa"/>
            <w:tcBorders>
              <w:top w:val="nil"/>
              <w:left w:val="nil"/>
              <w:bottom w:val="single" w:color="auto" w:sz="4" w:space="0"/>
              <w:right w:val="single" w:color="auto" w:sz="4" w:space="0"/>
            </w:tcBorders>
            <w:shd w:val="clear" w:color="auto" w:fill="auto"/>
            <w:vAlign w:val="center"/>
          </w:tcPr>
          <w:p w14:paraId="469F15B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r>
      <w:tr w14:paraId="19B0483E">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14:paraId="1657E28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2543" w:type="dxa"/>
            <w:gridSpan w:val="4"/>
            <w:tcBorders>
              <w:top w:val="single" w:color="auto" w:sz="4" w:space="0"/>
              <w:left w:val="nil"/>
              <w:bottom w:val="single" w:color="auto" w:sz="4" w:space="0"/>
              <w:right w:val="single" w:color="000000" w:sz="4" w:space="0"/>
            </w:tcBorders>
            <w:shd w:val="clear" w:color="auto" w:fill="auto"/>
            <w:vAlign w:val="center"/>
          </w:tcPr>
          <w:p w14:paraId="35448C4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3118" w:type="dxa"/>
            <w:gridSpan w:val="6"/>
            <w:tcBorders>
              <w:top w:val="single" w:color="auto" w:sz="4" w:space="0"/>
              <w:left w:val="nil"/>
              <w:bottom w:val="single" w:color="auto" w:sz="4" w:space="0"/>
              <w:right w:val="single" w:color="000000" w:sz="4" w:space="0"/>
            </w:tcBorders>
            <w:shd w:val="clear" w:color="auto" w:fill="auto"/>
            <w:vAlign w:val="center"/>
          </w:tcPr>
          <w:p w14:paraId="159E9E7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14:paraId="6C102C4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14:paraId="5B8AD873">
        <w:tblPrEx>
          <w:tblCellMar>
            <w:top w:w="0" w:type="dxa"/>
            <w:left w:w="108" w:type="dxa"/>
            <w:bottom w:w="0" w:type="dxa"/>
            <w:right w:w="108" w:type="dxa"/>
          </w:tblCellMar>
        </w:tblPrEx>
        <w:trPr>
          <w:cantSplit/>
          <w:trHeight w:val="1352" w:hRule="atLeast"/>
        </w:trPr>
        <w:tc>
          <w:tcPr>
            <w:tcW w:w="1002" w:type="dxa"/>
            <w:vMerge w:val="continue"/>
            <w:tcBorders>
              <w:top w:val="nil"/>
              <w:left w:val="single" w:color="auto" w:sz="4" w:space="0"/>
              <w:bottom w:val="single" w:color="auto" w:sz="4" w:space="0"/>
              <w:right w:val="single" w:color="auto" w:sz="4" w:space="0"/>
            </w:tcBorders>
            <w:vAlign w:val="center"/>
          </w:tcPr>
          <w:p w14:paraId="0E0D406B">
            <w:pPr>
              <w:rPr>
                <w:rFonts w:ascii="方正仿宋_GBK" w:hAnsi="Calibri" w:eastAsia="方正仿宋_GBK"/>
                <w:color w:val="000000"/>
                <w:sz w:val="18"/>
                <w:szCs w:val="18"/>
              </w:rPr>
            </w:pPr>
          </w:p>
        </w:tc>
        <w:tc>
          <w:tcPr>
            <w:tcW w:w="2543" w:type="dxa"/>
            <w:gridSpan w:val="4"/>
            <w:tcBorders>
              <w:top w:val="single" w:color="auto" w:sz="4" w:space="0"/>
              <w:left w:val="nil"/>
              <w:bottom w:val="single" w:color="auto" w:sz="4" w:space="0"/>
              <w:right w:val="single" w:color="000000" w:sz="4" w:space="0"/>
            </w:tcBorders>
            <w:shd w:val="clear" w:color="auto" w:fill="auto"/>
            <w:vAlign w:val="center"/>
          </w:tcPr>
          <w:p w14:paraId="06AADD0A">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保障辖区民政对象、困难群众补助正常发放。　</w:t>
            </w:r>
          </w:p>
        </w:tc>
        <w:tc>
          <w:tcPr>
            <w:tcW w:w="3118" w:type="dxa"/>
            <w:gridSpan w:val="6"/>
            <w:tcBorders>
              <w:top w:val="single" w:color="auto" w:sz="4" w:space="0"/>
              <w:left w:val="nil"/>
              <w:bottom w:val="single" w:color="auto" w:sz="4" w:space="0"/>
              <w:right w:val="single" w:color="000000" w:sz="4" w:space="0"/>
            </w:tcBorders>
            <w:shd w:val="clear" w:color="auto" w:fill="auto"/>
            <w:vAlign w:val="center"/>
          </w:tcPr>
          <w:p w14:paraId="4AC17477">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保障辖区民政对象、困难群众补助正常发放。　</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14:paraId="1AA6368E">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及时足额发放辖区民政对象、困难群众生活补助及救助金。　</w:t>
            </w:r>
          </w:p>
        </w:tc>
      </w:tr>
      <w:tr w14:paraId="09BB4F71">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68A0987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1409" w:type="dxa"/>
            <w:gridSpan w:val="2"/>
            <w:tcBorders>
              <w:top w:val="nil"/>
              <w:left w:val="nil"/>
              <w:bottom w:val="single" w:color="auto" w:sz="4" w:space="0"/>
              <w:right w:val="nil"/>
            </w:tcBorders>
            <w:shd w:val="clear" w:color="auto" w:fill="auto"/>
            <w:vAlign w:val="center"/>
          </w:tcPr>
          <w:p w14:paraId="599C723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425" w:type="dxa"/>
            <w:tcBorders>
              <w:top w:val="nil"/>
              <w:left w:val="single" w:color="auto" w:sz="4" w:space="0"/>
              <w:bottom w:val="single" w:color="auto" w:sz="4" w:space="0"/>
              <w:right w:val="single" w:color="auto" w:sz="4" w:space="0"/>
            </w:tcBorders>
            <w:shd w:val="clear" w:color="auto" w:fill="auto"/>
            <w:vAlign w:val="center"/>
          </w:tcPr>
          <w:p w14:paraId="49FEE1F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单位</w:t>
            </w:r>
          </w:p>
        </w:tc>
        <w:tc>
          <w:tcPr>
            <w:tcW w:w="709" w:type="dxa"/>
            <w:tcBorders>
              <w:top w:val="nil"/>
              <w:left w:val="nil"/>
              <w:bottom w:val="single" w:color="auto" w:sz="4" w:space="0"/>
              <w:right w:val="single" w:color="auto" w:sz="4" w:space="0"/>
            </w:tcBorders>
            <w:shd w:val="clear" w:color="auto" w:fill="auto"/>
            <w:vAlign w:val="center"/>
          </w:tcPr>
          <w:p w14:paraId="2E3BF6C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性质</w:t>
            </w:r>
          </w:p>
        </w:tc>
        <w:tc>
          <w:tcPr>
            <w:tcW w:w="709" w:type="dxa"/>
            <w:tcBorders>
              <w:top w:val="nil"/>
              <w:left w:val="nil"/>
              <w:bottom w:val="single" w:color="auto" w:sz="4" w:space="0"/>
              <w:right w:val="single" w:color="auto" w:sz="4" w:space="0"/>
            </w:tcBorders>
            <w:shd w:val="clear" w:color="auto" w:fill="auto"/>
            <w:vAlign w:val="center"/>
          </w:tcPr>
          <w:p w14:paraId="04353F8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708" w:type="dxa"/>
            <w:gridSpan w:val="2"/>
            <w:tcBorders>
              <w:top w:val="nil"/>
              <w:left w:val="nil"/>
              <w:bottom w:val="single" w:color="auto" w:sz="4" w:space="0"/>
              <w:right w:val="single" w:color="auto" w:sz="4" w:space="0"/>
            </w:tcBorders>
            <w:shd w:val="clear" w:color="auto" w:fill="auto"/>
            <w:vAlign w:val="center"/>
          </w:tcPr>
          <w:p w14:paraId="2C2F878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调整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851" w:type="dxa"/>
            <w:gridSpan w:val="2"/>
            <w:tcBorders>
              <w:top w:val="nil"/>
              <w:left w:val="nil"/>
              <w:bottom w:val="single" w:color="auto" w:sz="4" w:space="0"/>
              <w:right w:val="single" w:color="auto" w:sz="4" w:space="0"/>
            </w:tcBorders>
            <w:shd w:val="clear" w:color="auto" w:fill="auto"/>
            <w:vAlign w:val="center"/>
          </w:tcPr>
          <w:p w14:paraId="3AFE387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完成值</w:t>
            </w:r>
          </w:p>
        </w:tc>
        <w:tc>
          <w:tcPr>
            <w:tcW w:w="850" w:type="dxa"/>
            <w:tcBorders>
              <w:top w:val="nil"/>
              <w:left w:val="nil"/>
              <w:bottom w:val="single" w:color="auto" w:sz="4" w:space="0"/>
              <w:right w:val="single" w:color="auto" w:sz="4" w:space="0"/>
            </w:tcBorders>
            <w:shd w:val="clear" w:color="auto" w:fill="auto"/>
            <w:vAlign w:val="center"/>
          </w:tcPr>
          <w:p w14:paraId="3479B0C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得分系数</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851" w:type="dxa"/>
            <w:tcBorders>
              <w:top w:val="nil"/>
              <w:left w:val="nil"/>
              <w:bottom w:val="single" w:color="auto" w:sz="4" w:space="0"/>
              <w:right w:val="single" w:color="auto" w:sz="4" w:space="0"/>
            </w:tcBorders>
            <w:shd w:val="clear" w:color="auto" w:fill="auto"/>
            <w:vAlign w:val="center"/>
          </w:tcPr>
          <w:p w14:paraId="378463E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850" w:type="dxa"/>
            <w:tcBorders>
              <w:top w:val="nil"/>
              <w:left w:val="nil"/>
              <w:bottom w:val="single" w:color="auto" w:sz="4" w:space="0"/>
              <w:right w:val="single" w:color="auto" w:sz="4" w:space="0"/>
            </w:tcBorders>
            <w:shd w:val="clear" w:color="auto" w:fill="auto"/>
            <w:vAlign w:val="center"/>
          </w:tcPr>
          <w:p w14:paraId="6C5EA27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851" w:type="dxa"/>
            <w:tcBorders>
              <w:top w:val="nil"/>
              <w:left w:val="nil"/>
              <w:bottom w:val="single" w:color="auto" w:sz="4" w:space="0"/>
              <w:right w:val="single" w:color="auto" w:sz="4" w:space="0"/>
            </w:tcBorders>
            <w:shd w:val="clear" w:color="auto" w:fill="auto"/>
            <w:vAlign w:val="center"/>
          </w:tcPr>
          <w:p w14:paraId="4229B05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是否核心</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w:t>
            </w:r>
          </w:p>
        </w:tc>
      </w:tr>
      <w:tr w14:paraId="1AD64A51">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68E72DE9">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5D8B383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发放城市特困人员救助供养人数　</w:t>
            </w:r>
          </w:p>
        </w:tc>
        <w:tc>
          <w:tcPr>
            <w:tcW w:w="425" w:type="dxa"/>
            <w:tcBorders>
              <w:top w:val="nil"/>
              <w:left w:val="single" w:color="auto" w:sz="4" w:space="0"/>
              <w:bottom w:val="single" w:color="auto" w:sz="4" w:space="0"/>
              <w:right w:val="nil"/>
            </w:tcBorders>
            <w:shd w:val="clear" w:color="auto" w:fill="auto"/>
            <w:vAlign w:val="center"/>
          </w:tcPr>
          <w:p w14:paraId="73DB934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6CD57E5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43276E22">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44</w:t>
            </w:r>
            <w:r>
              <w:rPr>
                <w:rFonts w:hint="eastAsia" w:ascii="方正仿宋_GBK" w:eastAsia="方正仿宋_GBK"/>
                <w:color w:val="000000"/>
                <w:sz w:val="18"/>
                <w:szCs w:val="18"/>
              </w:rPr>
              <w:t>　</w:t>
            </w:r>
          </w:p>
        </w:tc>
        <w:tc>
          <w:tcPr>
            <w:tcW w:w="708" w:type="dxa"/>
            <w:gridSpan w:val="2"/>
            <w:tcBorders>
              <w:top w:val="nil"/>
              <w:left w:val="single" w:color="auto" w:sz="4" w:space="0"/>
              <w:bottom w:val="single" w:color="auto" w:sz="4" w:space="0"/>
              <w:right w:val="nil"/>
            </w:tcBorders>
            <w:shd w:val="clear" w:color="auto" w:fill="auto"/>
            <w:vAlign w:val="center"/>
          </w:tcPr>
          <w:p w14:paraId="44380C7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10115F52">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44</w:t>
            </w:r>
            <w:r>
              <w:rPr>
                <w:rFonts w:hint="eastAsia" w:ascii="方正仿宋_GBK" w:eastAsia="方正仿宋_GBK"/>
                <w:color w:val="000000"/>
                <w:sz w:val="18"/>
                <w:szCs w:val="18"/>
              </w:rPr>
              <w:t>　</w:t>
            </w:r>
          </w:p>
        </w:tc>
        <w:tc>
          <w:tcPr>
            <w:tcW w:w="850" w:type="dxa"/>
            <w:tcBorders>
              <w:top w:val="nil"/>
              <w:left w:val="single" w:color="auto" w:sz="4" w:space="0"/>
              <w:bottom w:val="single" w:color="auto" w:sz="4" w:space="0"/>
              <w:right w:val="nil"/>
            </w:tcBorders>
            <w:shd w:val="clear" w:color="auto" w:fill="auto"/>
            <w:vAlign w:val="center"/>
          </w:tcPr>
          <w:p w14:paraId="2FFB0680">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4304116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　</w:t>
            </w:r>
          </w:p>
        </w:tc>
        <w:tc>
          <w:tcPr>
            <w:tcW w:w="850" w:type="dxa"/>
            <w:tcBorders>
              <w:top w:val="nil"/>
              <w:left w:val="single" w:color="auto" w:sz="4" w:space="0"/>
              <w:bottom w:val="single" w:color="auto" w:sz="4" w:space="0"/>
              <w:right w:val="nil"/>
            </w:tcBorders>
            <w:shd w:val="clear" w:color="auto" w:fill="auto"/>
            <w:vAlign w:val="center"/>
          </w:tcPr>
          <w:p w14:paraId="588FBEB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　</w:t>
            </w:r>
          </w:p>
        </w:tc>
        <w:tc>
          <w:tcPr>
            <w:tcW w:w="851" w:type="dxa"/>
            <w:tcBorders>
              <w:top w:val="nil"/>
              <w:left w:val="single" w:color="auto" w:sz="4" w:space="0"/>
              <w:bottom w:val="single" w:color="auto" w:sz="4" w:space="0"/>
              <w:right w:val="single" w:color="auto" w:sz="4" w:space="0"/>
            </w:tcBorders>
            <w:shd w:val="clear" w:color="auto" w:fill="auto"/>
            <w:vAlign w:val="center"/>
          </w:tcPr>
          <w:p w14:paraId="2018BF2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0DCB8037">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29A38DA8">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7AAD4BB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发放事业单位离退休补贴人数</w:t>
            </w:r>
          </w:p>
        </w:tc>
        <w:tc>
          <w:tcPr>
            <w:tcW w:w="425" w:type="dxa"/>
            <w:tcBorders>
              <w:top w:val="nil"/>
              <w:left w:val="single" w:color="auto" w:sz="4" w:space="0"/>
              <w:bottom w:val="single" w:color="auto" w:sz="4" w:space="0"/>
              <w:right w:val="nil"/>
            </w:tcBorders>
            <w:shd w:val="clear" w:color="auto" w:fill="auto"/>
            <w:vAlign w:val="center"/>
          </w:tcPr>
          <w:p w14:paraId="34C302F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25AE50F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7A735300">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1</w:t>
            </w:r>
            <w:r>
              <w:rPr>
                <w:rFonts w:hint="eastAsia" w:ascii="方正仿宋_GBK" w:eastAsia="方正仿宋_GBK"/>
                <w:color w:val="000000"/>
                <w:sz w:val="18"/>
                <w:szCs w:val="18"/>
              </w:rPr>
              <w:t>　</w:t>
            </w:r>
          </w:p>
        </w:tc>
        <w:tc>
          <w:tcPr>
            <w:tcW w:w="708" w:type="dxa"/>
            <w:gridSpan w:val="2"/>
            <w:tcBorders>
              <w:top w:val="nil"/>
              <w:left w:val="single" w:color="auto" w:sz="4" w:space="0"/>
              <w:bottom w:val="single" w:color="auto" w:sz="4" w:space="0"/>
              <w:right w:val="nil"/>
            </w:tcBorders>
            <w:shd w:val="clear" w:color="auto" w:fill="auto"/>
            <w:vAlign w:val="center"/>
          </w:tcPr>
          <w:p w14:paraId="6A2B624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3343EE28">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1</w:t>
            </w:r>
          </w:p>
        </w:tc>
        <w:tc>
          <w:tcPr>
            <w:tcW w:w="850" w:type="dxa"/>
            <w:tcBorders>
              <w:top w:val="nil"/>
              <w:left w:val="single" w:color="auto" w:sz="4" w:space="0"/>
              <w:bottom w:val="single" w:color="auto" w:sz="4" w:space="0"/>
              <w:right w:val="nil"/>
            </w:tcBorders>
            <w:shd w:val="clear" w:color="auto" w:fill="auto"/>
            <w:vAlign w:val="center"/>
          </w:tcPr>
          <w:p w14:paraId="092B5CC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2902313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　</w:t>
            </w:r>
          </w:p>
        </w:tc>
        <w:tc>
          <w:tcPr>
            <w:tcW w:w="850" w:type="dxa"/>
            <w:tcBorders>
              <w:top w:val="nil"/>
              <w:left w:val="single" w:color="auto" w:sz="4" w:space="0"/>
              <w:bottom w:val="single" w:color="auto" w:sz="4" w:space="0"/>
              <w:right w:val="nil"/>
            </w:tcBorders>
            <w:shd w:val="clear" w:color="auto" w:fill="auto"/>
            <w:vAlign w:val="center"/>
          </w:tcPr>
          <w:p w14:paraId="3058A52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　</w:t>
            </w:r>
          </w:p>
        </w:tc>
        <w:tc>
          <w:tcPr>
            <w:tcW w:w="851" w:type="dxa"/>
            <w:tcBorders>
              <w:top w:val="nil"/>
              <w:left w:val="single" w:color="auto" w:sz="4" w:space="0"/>
              <w:bottom w:val="single" w:color="auto" w:sz="4" w:space="0"/>
              <w:right w:val="single" w:color="auto" w:sz="4" w:space="0"/>
            </w:tcBorders>
            <w:shd w:val="clear" w:color="auto" w:fill="auto"/>
            <w:vAlign w:val="center"/>
          </w:tcPr>
          <w:p w14:paraId="5CCC016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3A35411D">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7EFB6A36">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04830251">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发放元旦春节民政对象慰问人数　</w:t>
            </w:r>
          </w:p>
        </w:tc>
        <w:tc>
          <w:tcPr>
            <w:tcW w:w="425" w:type="dxa"/>
            <w:tcBorders>
              <w:top w:val="nil"/>
              <w:left w:val="single" w:color="auto" w:sz="4" w:space="0"/>
              <w:bottom w:val="single" w:color="auto" w:sz="4" w:space="0"/>
              <w:right w:val="nil"/>
            </w:tcBorders>
            <w:shd w:val="clear" w:color="auto" w:fill="auto"/>
            <w:vAlign w:val="center"/>
          </w:tcPr>
          <w:p w14:paraId="2B66A5A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702A8D8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3AF916B9">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125</w:t>
            </w:r>
            <w:r>
              <w:rPr>
                <w:rFonts w:hint="eastAsia" w:ascii="方正仿宋_GBK" w:eastAsia="方正仿宋_GBK"/>
                <w:color w:val="000000"/>
                <w:sz w:val="18"/>
                <w:szCs w:val="18"/>
              </w:rPr>
              <w:t>　</w:t>
            </w:r>
          </w:p>
        </w:tc>
        <w:tc>
          <w:tcPr>
            <w:tcW w:w="708" w:type="dxa"/>
            <w:gridSpan w:val="2"/>
            <w:tcBorders>
              <w:top w:val="nil"/>
              <w:left w:val="single" w:color="auto" w:sz="4" w:space="0"/>
              <w:bottom w:val="single" w:color="auto" w:sz="4" w:space="0"/>
              <w:right w:val="nil"/>
            </w:tcBorders>
            <w:shd w:val="clear" w:color="auto" w:fill="auto"/>
            <w:vAlign w:val="center"/>
          </w:tcPr>
          <w:p w14:paraId="63881AE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4BFB0ED8">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131</w:t>
            </w:r>
            <w:r>
              <w:rPr>
                <w:rFonts w:hint="eastAsia" w:ascii="方正仿宋_GBK" w:eastAsia="方正仿宋_GBK"/>
                <w:color w:val="000000"/>
                <w:sz w:val="18"/>
                <w:szCs w:val="18"/>
              </w:rPr>
              <w:t>　</w:t>
            </w:r>
          </w:p>
        </w:tc>
        <w:tc>
          <w:tcPr>
            <w:tcW w:w="850" w:type="dxa"/>
            <w:tcBorders>
              <w:top w:val="nil"/>
              <w:left w:val="single" w:color="auto" w:sz="4" w:space="0"/>
              <w:bottom w:val="single" w:color="auto" w:sz="4" w:space="0"/>
              <w:right w:val="nil"/>
            </w:tcBorders>
            <w:shd w:val="clear" w:color="auto" w:fill="auto"/>
            <w:vAlign w:val="center"/>
          </w:tcPr>
          <w:p w14:paraId="364F601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14:paraId="1F168F9A">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　</w:t>
            </w:r>
          </w:p>
        </w:tc>
        <w:tc>
          <w:tcPr>
            <w:tcW w:w="850" w:type="dxa"/>
            <w:tcBorders>
              <w:top w:val="nil"/>
              <w:left w:val="single" w:color="auto" w:sz="4" w:space="0"/>
              <w:bottom w:val="single" w:color="auto" w:sz="4" w:space="0"/>
              <w:right w:val="nil"/>
            </w:tcBorders>
            <w:shd w:val="clear" w:color="auto" w:fill="auto"/>
            <w:vAlign w:val="center"/>
          </w:tcPr>
          <w:p w14:paraId="1D360C1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　</w:t>
            </w:r>
          </w:p>
        </w:tc>
        <w:tc>
          <w:tcPr>
            <w:tcW w:w="851" w:type="dxa"/>
            <w:tcBorders>
              <w:top w:val="nil"/>
              <w:left w:val="single" w:color="auto" w:sz="4" w:space="0"/>
              <w:bottom w:val="single" w:color="auto" w:sz="4" w:space="0"/>
              <w:right w:val="single" w:color="auto" w:sz="4" w:space="0"/>
            </w:tcBorders>
            <w:shd w:val="clear" w:color="auto" w:fill="auto"/>
            <w:vAlign w:val="center"/>
          </w:tcPr>
          <w:p w14:paraId="2C5DE92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1C220CCE">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5BA47553">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1B61A1B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发放儿童福利人数　</w:t>
            </w:r>
          </w:p>
        </w:tc>
        <w:tc>
          <w:tcPr>
            <w:tcW w:w="425" w:type="dxa"/>
            <w:tcBorders>
              <w:top w:val="nil"/>
              <w:left w:val="single" w:color="auto" w:sz="4" w:space="0"/>
              <w:bottom w:val="single" w:color="auto" w:sz="4" w:space="0"/>
              <w:right w:val="nil"/>
            </w:tcBorders>
            <w:shd w:val="clear" w:color="auto" w:fill="auto"/>
            <w:vAlign w:val="center"/>
          </w:tcPr>
          <w:p w14:paraId="35BDA0C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30CD71C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4366E14D">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　</w:t>
            </w:r>
          </w:p>
        </w:tc>
        <w:tc>
          <w:tcPr>
            <w:tcW w:w="708" w:type="dxa"/>
            <w:gridSpan w:val="2"/>
            <w:tcBorders>
              <w:top w:val="nil"/>
              <w:left w:val="single" w:color="auto" w:sz="4" w:space="0"/>
              <w:bottom w:val="single" w:color="auto" w:sz="4" w:space="0"/>
              <w:right w:val="nil"/>
            </w:tcBorders>
            <w:shd w:val="clear" w:color="auto" w:fill="auto"/>
            <w:vAlign w:val="center"/>
          </w:tcPr>
          <w:p w14:paraId="1076FC7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1E218B2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　</w:t>
            </w:r>
          </w:p>
        </w:tc>
        <w:tc>
          <w:tcPr>
            <w:tcW w:w="850" w:type="dxa"/>
            <w:tcBorders>
              <w:top w:val="nil"/>
              <w:left w:val="single" w:color="auto" w:sz="4" w:space="0"/>
              <w:bottom w:val="single" w:color="auto" w:sz="4" w:space="0"/>
              <w:right w:val="nil"/>
            </w:tcBorders>
            <w:shd w:val="clear" w:color="auto" w:fill="auto"/>
            <w:vAlign w:val="center"/>
          </w:tcPr>
          <w:p w14:paraId="1D42A3D3">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21091AC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　</w:t>
            </w:r>
          </w:p>
        </w:tc>
        <w:tc>
          <w:tcPr>
            <w:tcW w:w="850" w:type="dxa"/>
            <w:tcBorders>
              <w:top w:val="nil"/>
              <w:left w:val="single" w:color="auto" w:sz="4" w:space="0"/>
              <w:bottom w:val="single" w:color="auto" w:sz="4" w:space="0"/>
              <w:right w:val="nil"/>
            </w:tcBorders>
            <w:shd w:val="clear" w:color="auto" w:fill="auto"/>
            <w:vAlign w:val="center"/>
          </w:tcPr>
          <w:p w14:paraId="6CE833D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　</w:t>
            </w:r>
          </w:p>
        </w:tc>
        <w:tc>
          <w:tcPr>
            <w:tcW w:w="851" w:type="dxa"/>
            <w:tcBorders>
              <w:top w:val="nil"/>
              <w:left w:val="single" w:color="auto" w:sz="4" w:space="0"/>
              <w:bottom w:val="single" w:color="auto" w:sz="4" w:space="0"/>
              <w:right w:val="single" w:color="auto" w:sz="4" w:space="0"/>
            </w:tcBorders>
            <w:shd w:val="clear" w:color="auto" w:fill="auto"/>
            <w:vAlign w:val="center"/>
          </w:tcPr>
          <w:p w14:paraId="3608B24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3A48410D">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4610E8ED">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28D1BC19">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发放老人福利人数　</w:t>
            </w:r>
          </w:p>
        </w:tc>
        <w:tc>
          <w:tcPr>
            <w:tcW w:w="425" w:type="dxa"/>
            <w:tcBorders>
              <w:top w:val="nil"/>
              <w:left w:val="single" w:color="auto" w:sz="4" w:space="0"/>
              <w:bottom w:val="single" w:color="auto" w:sz="4" w:space="0"/>
              <w:right w:val="nil"/>
            </w:tcBorders>
            <w:shd w:val="clear" w:color="auto" w:fill="auto"/>
            <w:vAlign w:val="center"/>
          </w:tcPr>
          <w:p w14:paraId="3E28C59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7D4A5F72">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675E4C38">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1131</w:t>
            </w:r>
            <w:r>
              <w:rPr>
                <w:rFonts w:hint="eastAsia" w:ascii="方正仿宋_GBK" w:eastAsia="方正仿宋_GBK"/>
                <w:color w:val="000000"/>
                <w:sz w:val="18"/>
                <w:szCs w:val="18"/>
              </w:rPr>
              <w:t>　</w:t>
            </w:r>
          </w:p>
        </w:tc>
        <w:tc>
          <w:tcPr>
            <w:tcW w:w="708" w:type="dxa"/>
            <w:gridSpan w:val="2"/>
            <w:tcBorders>
              <w:top w:val="nil"/>
              <w:left w:val="single" w:color="auto" w:sz="4" w:space="0"/>
              <w:bottom w:val="single" w:color="auto" w:sz="4" w:space="0"/>
              <w:right w:val="nil"/>
            </w:tcBorders>
            <w:shd w:val="clear" w:color="auto" w:fill="auto"/>
            <w:vAlign w:val="center"/>
          </w:tcPr>
          <w:p w14:paraId="37228A5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5D15D50A">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1108</w:t>
            </w:r>
            <w:r>
              <w:rPr>
                <w:rFonts w:hint="eastAsia" w:ascii="方正仿宋_GBK" w:eastAsia="方正仿宋_GBK"/>
                <w:color w:val="000000"/>
                <w:sz w:val="18"/>
                <w:szCs w:val="18"/>
              </w:rPr>
              <w:t>　</w:t>
            </w:r>
          </w:p>
        </w:tc>
        <w:tc>
          <w:tcPr>
            <w:tcW w:w="850" w:type="dxa"/>
            <w:tcBorders>
              <w:top w:val="nil"/>
              <w:left w:val="single" w:color="auto" w:sz="4" w:space="0"/>
              <w:bottom w:val="single" w:color="auto" w:sz="4" w:space="0"/>
              <w:right w:val="nil"/>
            </w:tcBorders>
            <w:shd w:val="clear" w:color="auto" w:fill="auto"/>
            <w:vAlign w:val="center"/>
          </w:tcPr>
          <w:p w14:paraId="62E55E48">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83</w:t>
            </w:r>
          </w:p>
        </w:tc>
        <w:tc>
          <w:tcPr>
            <w:tcW w:w="851" w:type="dxa"/>
            <w:tcBorders>
              <w:top w:val="nil"/>
              <w:left w:val="single" w:color="auto" w:sz="4" w:space="0"/>
              <w:bottom w:val="single" w:color="auto" w:sz="4" w:space="0"/>
              <w:right w:val="nil"/>
            </w:tcBorders>
            <w:shd w:val="clear" w:color="auto" w:fill="auto"/>
            <w:vAlign w:val="center"/>
          </w:tcPr>
          <w:p w14:paraId="45BEFC4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　</w:t>
            </w:r>
          </w:p>
        </w:tc>
        <w:tc>
          <w:tcPr>
            <w:tcW w:w="850" w:type="dxa"/>
            <w:tcBorders>
              <w:top w:val="nil"/>
              <w:left w:val="single" w:color="auto" w:sz="4" w:space="0"/>
              <w:bottom w:val="single" w:color="auto" w:sz="4" w:space="0"/>
              <w:right w:val="nil"/>
            </w:tcBorders>
            <w:shd w:val="clear" w:color="auto" w:fill="auto"/>
            <w:vAlign w:val="center"/>
          </w:tcPr>
          <w:p w14:paraId="083DE0CB">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　</w:t>
            </w:r>
          </w:p>
        </w:tc>
        <w:tc>
          <w:tcPr>
            <w:tcW w:w="851" w:type="dxa"/>
            <w:tcBorders>
              <w:top w:val="nil"/>
              <w:left w:val="single" w:color="auto" w:sz="4" w:space="0"/>
              <w:bottom w:val="single" w:color="auto" w:sz="4" w:space="0"/>
              <w:right w:val="single" w:color="auto" w:sz="4" w:space="0"/>
            </w:tcBorders>
            <w:shd w:val="clear" w:color="auto" w:fill="auto"/>
            <w:vAlign w:val="center"/>
          </w:tcPr>
          <w:p w14:paraId="10843E8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3F4B3B7B">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664D28DC">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383193F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发放残疾人生活和护理补贴人数　</w:t>
            </w:r>
          </w:p>
        </w:tc>
        <w:tc>
          <w:tcPr>
            <w:tcW w:w="425" w:type="dxa"/>
            <w:tcBorders>
              <w:top w:val="nil"/>
              <w:left w:val="single" w:color="auto" w:sz="4" w:space="0"/>
              <w:bottom w:val="single" w:color="auto" w:sz="4" w:space="0"/>
              <w:right w:val="nil"/>
            </w:tcBorders>
            <w:shd w:val="clear" w:color="auto" w:fill="auto"/>
            <w:vAlign w:val="center"/>
          </w:tcPr>
          <w:p w14:paraId="5EFCC66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14:paraId="473CCC8E">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677C77D6">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367</w:t>
            </w:r>
            <w:r>
              <w:rPr>
                <w:rFonts w:hint="eastAsia" w:ascii="方正仿宋_GBK" w:eastAsia="方正仿宋_GBK"/>
                <w:color w:val="000000"/>
                <w:sz w:val="18"/>
                <w:szCs w:val="18"/>
              </w:rPr>
              <w:t>　</w:t>
            </w:r>
          </w:p>
        </w:tc>
        <w:tc>
          <w:tcPr>
            <w:tcW w:w="708" w:type="dxa"/>
            <w:gridSpan w:val="2"/>
            <w:tcBorders>
              <w:top w:val="nil"/>
              <w:left w:val="single" w:color="auto" w:sz="4" w:space="0"/>
              <w:bottom w:val="single" w:color="auto" w:sz="4" w:space="0"/>
              <w:right w:val="nil"/>
            </w:tcBorders>
            <w:shd w:val="clear" w:color="auto" w:fill="auto"/>
            <w:vAlign w:val="center"/>
          </w:tcPr>
          <w:p w14:paraId="3CC6A3F5">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14:paraId="48C5D388">
            <w:pPr>
              <w:autoSpaceDN w:val="0"/>
              <w:jc w:val="center"/>
              <w:rPr>
                <w:rFonts w:ascii="方正仿宋_GBK" w:hAnsi="Calibri" w:eastAsia="方正仿宋_GBK"/>
                <w:color w:val="000000"/>
                <w:sz w:val="18"/>
                <w:szCs w:val="18"/>
              </w:rPr>
            </w:pPr>
            <w:r>
              <w:rPr>
                <w:rFonts w:ascii="方正仿宋_GBK" w:eastAsia="方正仿宋_GBK"/>
                <w:color w:val="000000"/>
                <w:sz w:val="18"/>
                <w:szCs w:val="18"/>
              </w:rPr>
              <w:t>337</w:t>
            </w:r>
            <w:r>
              <w:rPr>
                <w:rFonts w:hint="eastAsia" w:ascii="方正仿宋_GBK" w:eastAsia="方正仿宋_GBK"/>
                <w:color w:val="000000"/>
                <w:sz w:val="18"/>
                <w:szCs w:val="18"/>
              </w:rPr>
              <w:t>　</w:t>
            </w:r>
          </w:p>
        </w:tc>
        <w:tc>
          <w:tcPr>
            <w:tcW w:w="850" w:type="dxa"/>
            <w:tcBorders>
              <w:top w:val="nil"/>
              <w:left w:val="single" w:color="auto" w:sz="4" w:space="0"/>
              <w:bottom w:val="single" w:color="auto" w:sz="4" w:space="0"/>
              <w:right w:val="nil"/>
            </w:tcBorders>
            <w:shd w:val="clear" w:color="auto" w:fill="auto"/>
            <w:vAlign w:val="center"/>
          </w:tcPr>
          <w:p w14:paraId="2B9FB517">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83　</w:t>
            </w:r>
          </w:p>
        </w:tc>
        <w:tc>
          <w:tcPr>
            <w:tcW w:w="851" w:type="dxa"/>
            <w:tcBorders>
              <w:top w:val="nil"/>
              <w:left w:val="single" w:color="auto" w:sz="4" w:space="0"/>
              <w:bottom w:val="single" w:color="auto" w:sz="4" w:space="0"/>
              <w:right w:val="nil"/>
            </w:tcBorders>
            <w:shd w:val="clear" w:color="auto" w:fill="auto"/>
            <w:vAlign w:val="center"/>
          </w:tcPr>
          <w:p w14:paraId="41AEA24C">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6　</w:t>
            </w:r>
          </w:p>
        </w:tc>
        <w:tc>
          <w:tcPr>
            <w:tcW w:w="850" w:type="dxa"/>
            <w:tcBorders>
              <w:top w:val="nil"/>
              <w:left w:val="single" w:color="auto" w:sz="4" w:space="0"/>
              <w:bottom w:val="single" w:color="auto" w:sz="4" w:space="0"/>
              <w:right w:val="nil"/>
            </w:tcBorders>
            <w:shd w:val="clear" w:color="auto" w:fill="auto"/>
            <w:vAlign w:val="center"/>
          </w:tcPr>
          <w:p w14:paraId="3D23216F">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5　</w:t>
            </w:r>
          </w:p>
        </w:tc>
        <w:tc>
          <w:tcPr>
            <w:tcW w:w="851" w:type="dxa"/>
            <w:tcBorders>
              <w:top w:val="nil"/>
              <w:left w:val="single" w:color="auto" w:sz="4" w:space="0"/>
              <w:bottom w:val="single" w:color="auto" w:sz="4" w:space="0"/>
              <w:right w:val="single" w:color="auto" w:sz="4" w:space="0"/>
            </w:tcBorders>
            <w:shd w:val="clear" w:color="auto" w:fill="auto"/>
            <w:vAlign w:val="center"/>
          </w:tcPr>
          <w:p w14:paraId="55092E24">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14:paraId="21AC5BB5">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313CA0A5">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1F124EE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发放城市最低生活保障金人数</w:t>
            </w:r>
          </w:p>
        </w:tc>
        <w:tc>
          <w:tcPr>
            <w:tcW w:w="425" w:type="dxa"/>
            <w:tcBorders>
              <w:top w:val="nil"/>
              <w:left w:val="single" w:color="auto" w:sz="4" w:space="0"/>
              <w:bottom w:val="single" w:color="auto" w:sz="4" w:space="0"/>
              <w:right w:val="nil"/>
            </w:tcBorders>
            <w:shd w:val="clear" w:color="auto" w:fill="auto"/>
            <w:vAlign w:val="center"/>
          </w:tcPr>
          <w:p w14:paraId="03C571C4">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人</w:t>
            </w:r>
          </w:p>
        </w:tc>
        <w:tc>
          <w:tcPr>
            <w:tcW w:w="709" w:type="dxa"/>
            <w:tcBorders>
              <w:top w:val="nil"/>
              <w:left w:val="single" w:color="auto" w:sz="4" w:space="0"/>
              <w:bottom w:val="single" w:color="auto" w:sz="4" w:space="0"/>
              <w:right w:val="nil"/>
            </w:tcBorders>
            <w:shd w:val="clear" w:color="auto" w:fill="auto"/>
            <w:vAlign w:val="center"/>
          </w:tcPr>
          <w:p w14:paraId="332A1367">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14:paraId="6C9EB2D8">
            <w:pPr>
              <w:autoSpaceDN w:val="0"/>
              <w:jc w:val="center"/>
              <w:rPr>
                <w:rFonts w:ascii="方正仿宋_GBK" w:eastAsia="方正仿宋_GBK"/>
                <w:color w:val="000000"/>
                <w:sz w:val="18"/>
                <w:szCs w:val="18"/>
              </w:rPr>
            </w:pPr>
            <w:r>
              <w:rPr>
                <w:rFonts w:ascii="方正仿宋_GBK" w:eastAsia="方正仿宋_GBK"/>
                <w:color w:val="000000"/>
                <w:sz w:val="18"/>
                <w:szCs w:val="18"/>
              </w:rPr>
              <w:t>710</w:t>
            </w:r>
          </w:p>
        </w:tc>
        <w:tc>
          <w:tcPr>
            <w:tcW w:w="708" w:type="dxa"/>
            <w:gridSpan w:val="2"/>
            <w:tcBorders>
              <w:top w:val="nil"/>
              <w:left w:val="single" w:color="auto" w:sz="4" w:space="0"/>
              <w:bottom w:val="single" w:color="auto" w:sz="4" w:space="0"/>
              <w:right w:val="nil"/>
            </w:tcBorders>
            <w:shd w:val="clear" w:color="auto" w:fill="auto"/>
            <w:vAlign w:val="center"/>
          </w:tcPr>
          <w:p w14:paraId="52A735EB">
            <w:pPr>
              <w:autoSpaceDN w:val="0"/>
              <w:jc w:val="center"/>
              <w:rPr>
                <w:rFonts w:ascii="方正仿宋_GBK" w:eastAsia="方正仿宋_GBK"/>
                <w:color w:val="000000"/>
                <w:sz w:val="18"/>
                <w:szCs w:val="18"/>
              </w:rPr>
            </w:pPr>
          </w:p>
        </w:tc>
        <w:tc>
          <w:tcPr>
            <w:tcW w:w="851" w:type="dxa"/>
            <w:gridSpan w:val="2"/>
            <w:tcBorders>
              <w:top w:val="nil"/>
              <w:left w:val="single" w:color="auto" w:sz="4" w:space="0"/>
              <w:bottom w:val="single" w:color="auto" w:sz="4" w:space="0"/>
              <w:right w:val="nil"/>
            </w:tcBorders>
            <w:shd w:val="clear" w:color="auto" w:fill="auto"/>
            <w:vAlign w:val="center"/>
          </w:tcPr>
          <w:p w14:paraId="43F19800">
            <w:pPr>
              <w:autoSpaceDN w:val="0"/>
              <w:jc w:val="center"/>
              <w:rPr>
                <w:rFonts w:ascii="方正仿宋_GBK" w:eastAsia="方正仿宋_GBK"/>
                <w:color w:val="000000"/>
                <w:sz w:val="18"/>
                <w:szCs w:val="18"/>
              </w:rPr>
            </w:pPr>
            <w:r>
              <w:rPr>
                <w:rFonts w:ascii="方正仿宋_GBK" w:eastAsia="方正仿宋_GBK"/>
                <w:color w:val="000000"/>
                <w:sz w:val="18"/>
                <w:szCs w:val="18"/>
              </w:rPr>
              <w:t>856</w:t>
            </w:r>
          </w:p>
        </w:tc>
        <w:tc>
          <w:tcPr>
            <w:tcW w:w="850" w:type="dxa"/>
            <w:tcBorders>
              <w:top w:val="nil"/>
              <w:left w:val="single" w:color="auto" w:sz="4" w:space="0"/>
              <w:bottom w:val="single" w:color="auto" w:sz="4" w:space="0"/>
              <w:right w:val="nil"/>
            </w:tcBorders>
            <w:shd w:val="clear" w:color="auto" w:fill="auto"/>
            <w:vAlign w:val="center"/>
          </w:tcPr>
          <w:p w14:paraId="698DA2C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49D42C0E">
            <w:pPr>
              <w:autoSpaceDN w:val="0"/>
              <w:jc w:val="center"/>
              <w:rPr>
                <w:rFonts w:ascii="方正仿宋_GBK" w:eastAsia="方正仿宋_GBK"/>
                <w:color w:val="000000"/>
                <w:sz w:val="18"/>
                <w:szCs w:val="18"/>
              </w:rPr>
            </w:pPr>
            <w:r>
              <w:rPr>
                <w:rFonts w:ascii="方正仿宋_GBK" w:eastAsia="方正仿宋_GBK"/>
                <w:color w:val="000000"/>
                <w:sz w:val="18"/>
                <w:szCs w:val="18"/>
              </w:rPr>
              <w:t>8</w:t>
            </w:r>
          </w:p>
        </w:tc>
        <w:tc>
          <w:tcPr>
            <w:tcW w:w="850" w:type="dxa"/>
            <w:tcBorders>
              <w:top w:val="nil"/>
              <w:left w:val="single" w:color="auto" w:sz="4" w:space="0"/>
              <w:bottom w:val="single" w:color="auto" w:sz="4" w:space="0"/>
              <w:right w:val="nil"/>
            </w:tcBorders>
            <w:shd w:val="clear" w:color="auto" w:fill="auto"/>
            <w:vAlign w:val="center"/>
          </w:tcPr>
          <w:p w14:paraId="4D27E604">
            <w:pPr>
              <w:autoSpaceDN w:val="0"/>
              <w:jc w:val="center"/>
              <w:rPr>
                <w:rFonts w:ascii="方正仿宋_GBK" w:eastAsia="方正仿宋_GBK"/>
                <w:color w:val="000000"/>
                <w:sz w:val="18"/>
                <w:szCs w:val="18"/>
              </w:rPr>
            </w:pPr>
            <w:r>
              <w:rPr>
                <w:rFonts w:ascii="方正仿宋_GBK" w:eastAsia="方正仿宋_GBK"/>
                <w:color w:val="000000"/>
                <w:sz w:val="18"/>
                <w:szCs w:val="18"/>
              </w:rPr>
              <w:t>8</w:t>
            </w:r>
          </w:p>
        </w:tc>
        <w:tc>
          <w:tcPr>
            <w:tcW w:w="851" w:type="dxa"/>
            <w:tcBorders>
              <w:top w:val="nil"/>
              <w:left w:val="single" w:color="auto" w:sz="4" w:space="0"/>
              <w:bottom w:val="single" w:color="auto" w:sz="4" w:space="0"/>
              <w:right w:val="single" w:color="auto" w:sz="4" w:space="0"/>
            </w:tcBorders>
            <w:shd w:val="clear" w:color="auto" w:fill="auto"/>
            <w:vAlign w:val="center"/>
          </w:tcPr>
          <w:p w14:paraId="2F4257D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是</w:t>
            </w:r>
          </w:p>
        </w:tc>
      </w:tr>
      <w:tr w14:paraId="12E02F6C">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47B18B7F">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5254C93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发放及时率</w:t>
            </w:r>
          </w:p>
        </w:tc>
        <w:tc>
          <w:tcPr>
            <w:tcW w:w="425" w:type="dxa"/>
            <w:tcBorders>
              <w:top w:val="nil"/>
              <w:left w:val="single" w:color="auto" w:sz="4" w:space="0"/>
              <w:bottom w:val="single" w:color="auto" w:sz="4" w:space="0"/>
              <w:right w:val="nil"/>
            </w:tcBorders>
            <w:shd w:val="clear" w:color="auto" w:fill="auto"/>
            <w:vAlign w:val="center"/>
          </w:tcPr>
          <w:p w14:paraId="7675A3A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492EADC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66524A5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708" w:type="dxa"/>
            <w:gridSpan w:val="2"/>
            <w:tcBorders>
              <w:top w:val="nil"/>
              <w:left w:val="single" w:color="auto" w:sz="4" w:space="0"/>
              <w:bottom w:val="single" w:color="auto" w:sz="4" w:space="0"/>
              <w:right w:val="nil"/>
            </w:tcBorders>
            <w:shd w:val="clear" w:color="auto" w:fill="auto"/>
            <w:vAlign w:val="center"/>
          </w:tcPr>
          <w:p w14:paraId="26603121">
            <w:pPr>
              <w:autoSpaceDN w:val="0"/>
              <w:jc w:val="center"/>
              <w:rPr>
                <w:rFonts w:ascii="方正仿宋_GBK" w:eastAsia="方正仿宋_GBK"/>
                <w:color w:val="000000"/>
                <w:sz w:val="18"/>
                <w:szCs w:val="18"/>
              </w:rPr>
            </w:pPr>
          </w:p>
        </w:tc>
        <w:tc>
          <w:tcPr>
            <w:tcW w:w="851" w:type="dxa"/>
            <w:gridSpan w:val="2"/>
            <w:tcBorders>
              <w:top w:val="nil"/>
              <w:left w:val="single" w:color="auto" w:sz="4" w:space="0"/>
              <w:bottom w:val="single" w:color="auto" w:sz="4" w:space="0"/>
              <w:right w:val="nil"/>
            </w:tcBorders>
            <w:shd w:val="clear" w:color="auto" w:fill="auto"/>
            <w:vAlign w:val="center"/>
          </w:tcPr>
          <w:p w14:paraId="32BA78D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0" w:type="dxa"/>
            <w:tcBorders>
              <w:top w:val="nil"/>
              <w:left w:val="single" w:color="auto" w:sz="4" w:space="0"/>
              <w:bottom w:val="single" w:color="auto" w:sz="4" w:space="0"/>
              <w:right w:val="nil"/>
            </w:tcBorders>
            <w:shd w:val="clear" w:color="auto" w:fill="auto"/>
            <w:vAlign w:val="center"/>
          </w:tcPr>
          <w:p w14:paraId="761D1367">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2CC93CE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6</w:t>
            </w:r>
          </w:p>
        </w:tc>
        <w:tc>
          <w:tcPr>
            <w:tcW w:w="850" w:type="dxa"/>
            <w:tcBorders>
              <w:top w:val="nil"/>
              <w:left w:val="single" w:color="auto" w:sz="4" w:space="0"/>
              <w:bottom w:val="single" w:color="auto" w:sz="4" w:space="0"/>
              <w:right w:val="nil"/>
            </w:tcBorders>
            <w:shd w:val="clear" w:color="auto" w:fill="auto"/>
            <w:vAlign w:val="center"/>
          </w:tcPr>
          <w:p w14:paraId="4903993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6</w:t>
            </w:r>
          </w:p>
        </w:tc>
        <w:tc>
          <w:tcPr>
            <w:tcW w:w="851" w:type="dxa"/>
            <w:tcBorders>
              <w:top w:val="nil"/>
              <w:left w:val="single" w:color="auto" w:sz="4" w:space="0"/>
              <w:bottom w:val="single" w:color="auto" w:sz="4" w:space="0"/>
              <w:right w:val="single" w:color="auto" w:sz="4" w:space="0"/>
            </w:tcBorders>
            <w:shd w:val="clear" w:color="auto" w:fill="auto"/>
            <w:vAlign w:val="center"/>
          </w:tcPr>
          <w:p w14:paraId="0335408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677B1444">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231700D4">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36D0984F">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民政对象政策知晓率</w:t>
            </w:r>
          </w:p>
        </w:tc>
        <w:tc>
          <w:tcPr>
            <w:tcW w:w="425" w:type="dxa"/>
            <w:tcBorders>
              <w:top w:val="nil"/>
              <w:left w:val="single" w:color="auto" w:sz="4" w:space="0"/>
              <w:bottom w:val="single" w:color="auto" w:sz="4" w:space="0"/>
              <w:right w:val="nil"/>
            </w:tcBorders>
            <w:shd w:val="clear" w:color="auto" w:fill="auto"/>
            <w:vAlign w:val="center"/>
          </w:tcPr>
          <w:p w14:paraId="5F92ADEA">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498EBDB5">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028C83EB">
            <w:pPr>
              <w:autoSpaceDN w:val="0"/>
              <w:jc w:val="center"/>
              <w:rPr>
                <w:rFonts w:ascii="方正仿宋_GBK" w:eastAsia="方正仿宋_GBK"/>
                <w:color w:val="000000"/>
                <w:sz w:val="18"/>
                <w:szCs w:val="18"/>
              </w:rPr>
            </w:pPr>
            <w:r>
              <w:rPr>
                <w:rFonts w:ascii="方正仿宋_GBK" w:eastAsia="方正仿宋_GBK"/>
                <w:color w:val="000000"/>
                <w:sz w:val="18"/>
                <w:szCs w:val="18"/>
              </w:rPr>
              <w:t>90</w:t>
            </w:r>
          </w:p>
        </w:tc>
        <w:tc>
          <w:tcPr>
            <w:tcW w:w="708" w:type="dxa"/>
            <w:gridSpan w:val="2"/>
            <w:tcBorders>
              <w:top w:val="nil"/>
              <w:left w:val="single" w:color="auto" w:sz="4" w:space="0"/>
              <w:bottom w:val="single" w:color="auto" w:sz="4" w:space="0"/>
              <w:right w:val="nil"/>
            </w:tcBorders>
            <w:shd w:val="clear" w:color="auto" w:fill="auto"/>
            <w:vAlign w:val="center"/>
          </w:tcPr>
          <w:p w14:paraId="0F380A31">
            <w:pPr>
              <w:autoSpaceDN w:val="0"/>
              <w:jc w:val="center"/>
              <w:rPr>
                <w:rFonts w:ascii="方正仿宋_GBK" w:eastAsia="方正仿宋_GBK"/>
                <w:color w:val="000000"/>
                <w:sz w:val="18"/>
                <w:szCs w:val="18"/>
              </w:rPr>
            </w:pPr>
          </w:p>
        </w:tc>
        <w:tc>
          <w:tcPr>
            <w:tcW w:w="851" w:type="dxa"/>
            <w:gridSpan w:val="2"/>
            <w:tcBorders>
              <w:top w:val="nil"/>
              <w:left w:val="single" w:color="auto" w:sz="4" w:space="0"/>
              <w:bottom w:val="single" w:color="auto" w:sz="4" w:space="0"/>
              <w:right w:val="nil"/>
            </w:tcBorders>
            <w:shd w:val="clear" w:color="auto" w:fill="auto"/>
            <w:vAlign w:val="center"/>
          </w:tcPr>
          <w:p w14:paraId="0FD876F6">
            <w:pPr>
              <w:autoSpaceDN w:val="0"/>
              <w:jc w:val="center"/>
              <w:rPr>
                <w:rFonts w:ascii="方正仿宋_GBK" w:eastAsia="方正仿宋_GBK"/>
                <w:color w:val="000000"/>
                <w:sz w:val="18"/>
                <w:szCs w:val="18"/>
              </w:rPr>
            </w:pPr>
            <w:r>
              <w:rPr>
                <w:rFonts w:ascii="方正仿宋_GBK" w:eastAsia="方正仿宋_GBK"/>
                <w:color w:val="000000"/>
                <w:sz w:val="18"/>
                <w:szCs w:val="18"/>
              </w:rPr>
              <w:t>90</w:t>
            </w:r>
          </w:p>
        </w:tc>
        <w:tc>
          <w:tcPr>
            <w:tcW w:w="850" w:type="dxa"/>
            <w:tcBorders>
              <w:top w:val="nil"/>
              <w:left w:val="single" w:color="auto" w:sz="4" w:space="0"/>
              <w:bottom w:val="single" w:color="auto" w:sz="4" w:space="0"/>
              <w:right w:val="nil"/>
            </w:tcBorders>
            <w:shd w:val="clear" w:color="auto" w:fill="auto"/>
            <w:vAlign w:val="center"/>
          </w:tcPr>
          <w:p w14:paraId="01AC7D4F">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3B1041A2">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14:paraId="7E53094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1" w:type="dxa"/>
            <w:tcBorders>
              <w:top w:val="nil"/>
              <w:left w:val="single" w:color="auto" w:sz="4" w:space="0"/>
              <w:bottom w:val="single" w:color="auto" w:sz="4" w:space="0"/>
              <w:right w:val="single" w:color="auto" w:sz="4" w:space="0"/>
            </w:tcBorders>
            <w:shd w:val="clear" w:color="auto" w:fill="auto"/>
            <w:vAlign w:val="center"/>
          </w:tcPr>
          <w:p w14:paraId="763606AD">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4EEAE014">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76743EF1">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143BDD43">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符合条件享受待遇的民政对象覆盖率</w:t>
            </w:r>
          </w:p>
        </w:tc>
        <w:tc>
          <w:tcPr>
            <w:tcW w:w="425" w:type="dxa"/>
            <w:tcBorders>
              <w:top w:val="nil"/>
              <w:left w:val="single" w:color="auto" w:sz="4" w:space="0"/>
              <w:bottom w:val="single" w:color="auto" w:sz="4" w:space="0"/>
              <w:right w:val="nil"/>
            </w:tcBorders>
            <w:shd w:val="clear" w:color="auto" w:fill="auto"/>
            <w:vAlign w:val="center"/>
          </w:tcPr>
          <w:p w14:paraId="0A7162E8">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2C4C9BA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4CA965E7">
            <w:pPr>
              <w:autoSpaceDN w:val="0"/>
              <w:jc w:val="center"/>
              <w:rPr>
                <w:rFonts w:ascii="方正仿宋_GBK" w:eastAsia="方正仿宋_GBK"/>
                <w:color w:val="000000"/>
                <w:sz w:val="18"/>
                <w:szCs w:val="18"/>
              </w:rPr>
            </w:pPr>
            <w:r>
              <w:rPr>
                <w:rFonts w:ascii="方正仿宋_GBK" w:eastAsia="方正仿宋_GBK"/>
                <w:color w:val="000000"/>
                <w:sz w:val="18"/>
                <w:szCs w:val="18"/>
              </w:rPr>
              <w:t>95</w:t>
            </w:r>
          </w:p>
        </w:tc>
        <w:tc>
          <w:tcPr>
            <w:tcW w:w="708" w:type="dxa"/>
            <w:gridSpan w:val="2"/>
            <w:tcBorders>
              <w:top w:val="nil"/>
              <w:left w:val="single" w:color="auto" w:sz="4" w:space="0"/>
              <w:bottom w:val="single" w:color="auto" w:sz="4" w:space="0"/>
              <w:right w:val="nil"/>
            </w:tcBorders>
            <w:shd w:val="clear" w:color="auto" w:fill="auto"/>
            <w:vAlign w:val="center"/>
          </w:tcPr>
          <w:p w14:paraId="078025F2">
            <w:pPr>
              <w:autoSpaceDN w:val="0"/>
              <w:jc w:val="center"/>
              <w:rPr>
                <w:rFonts w:ascii="方正仿宋_GBK" w:eastAsia="方正仿宋_GBK"/>
                <w:color w:val="000000"/>
                <w:sz w:val="18"/>
                <w:szCs w:val="18"/>
              </w:rPr>
            </w:pPr>
          </w:p>
        </w:tc>
        <w:tc>
          <w:tcPr>
            <w:tcW w:w="851" w:type="dxa"/>
            <w:gridSpan w:val="2"/>
            <w:tcBorders>
              <w:top w:val="nil"/>
              <w:left w:val="single" w:color="auto" w:sz="4" w:space="0"/>
              <w:bottom w:val="single" w:color="auto" w:sz="4" w:space="0"/>
              <w:right w:val="nil"/>
            </w:tcBorders>
            <w:shd w:val="clear" w:color="auto" w:fill="auto"/>
            <w:vAlign w:val="center"/>
          </w:tcPr>
          <w:p w14:paraId="463E2031">
            <w:pPr>
              <w:autoSpaceDN w:val="0"/>
              <w:jc w:val="center"/>
              <w:rPr>
                <w:rFonts w:ascii="方正仿宋_GBK" w:eastAsia="方正仿宋_GBK"/>
                <w:color w:val="000000"/>
                <w:sz w:val="18"/>
                <w:szCs w:val="18"/>
              </w:rPr>
            </w:pPr>
            <w:r>
              <w:rPr>
                <w:rFonts w:ascii="方正仿宋_GBK" w:eastAsia="方正仿宋_GBK"/>
                <w:color w:val="000000"/>
                <w:sz w:val="18"/>
                <w:szCs w:val="18"/>
              </w:rPr>
              <w:t>95</w:t>
            </w:r>
          </w:p>
        </w:tc>
        <w:tc>
          <w:tcPr>
            <w:tcW w:w="850" w:type="dxa"/>
            <w:tcBorders>
              <w:top w:val="nil"/>
              <w:left w:val="single" w:color="auto" w:sz="4" w:space="0"/>
              <w:bottom w:val="single" w:color="auto" w:sz="4" w:space="0"/>
              <w:right w:val="nil"/>
            </w:tcBorders>
            <w:shd w:val="clear" w:color="auto" w:fill="auto"/>
            <w:vAlign w:val="center"/>
          </w:tcPr>
          <w:p w14:paraId="7C220E3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50D897A6">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14:paraId="3D34BEB1">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15</w:t>
            </w:r>
          </w:p>
        </w:tc>
        <w:tc>
          <w:tcPr>
            <w:tcW w:w="851" w:type="dxa"/>
            <w:tcBorders>
              <w:top w:val="nil"/>
              <w:left w:val="single" w:color="auto" w:sz="4" w:space="0"/>
              <w:bottom w:val="single" w:color="auto" w:sz="4" w:space="0"/>
              <w:right w:val="single" w:color="auto" w:sz="4" w:space="0"/>
            </w:tcBorders>
            <w:shd w:val="clear" w:color="auto" w:fill="auto"/>
            <w:vAlign w:val="center"/>
          </w:tcPr>
          <w:p w14:paraId="4E8BF65C">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60679467">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14:paraId="349EDA6E">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14:paraId="00B17869">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民政对象满意率</w:t>
            </w:r>
          </w:p>
        </w:tc>
        <w:tc>
          <w:tcPr>
            <w:tcW w:w="425" w:type="dxa"/>
            <w:tcBorders>
              <w:top w:val="nil"/>
              <w:left w:val="single" w:color="auto" w:sz="4" w:space="0"/>
              <w:bottom w:val="single" w:color="auto" w:sz="4" w:space="0"/>
              <w:right w:val="nil"/>
            </w:tcBorders>
            <w:shd w:val="clear" w:color="auto" w:fill="auto"/>
            <w:vAlign w:val="center"/>
          </w:tcPr>
          <w:p w14:paraId="610E0D80">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3577EC3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709" w:type="dxa"/>
            <w:tcBorders>
              <w:top w:val="nil"/>
              <w:left w:val="single" w:color="auto" w:sz="4" w:space="0"/>
              <w:bottom w:val="single" w:color="auto" w:sz="4" w:space="0"/>
              <w:right w:val="nil"/>
            </w:tcBorders>
            <w:shd w:val="clear" w:color="auto" w:fill="auto"/>
            <w:vAlign w:val="center"/>
          </w:tcPr>
          <w:p w14:paraId="067B02DF">
            <w:pPr>
              <w:autoSpaceDN w:val="0"/>
              <w:jc w:val="center"/>
              <w:rPr>
                <w:rFonts w:ascii="方正仿宋_GBK" w:eastAsia="方正仿宋_GBK"/>
                <w:color w:val="000000"/>
                <w:sz w:val="18"/>
                <w:szCs w:val="18"/>
              </w:rPr>
            </w:pPr>
            <w:r>
              <w:rPr>
                <w:rFonts w:ascii="方正仿宋_GBK" w:eastAsia="方正仿宋_GBK"/>
                <w:color w:val="000000"/>
                <w:sz w:val="18"/>
                <w:szCs w:val="18"/>
              </w:rPr>
              <w:t>95</w:t>
            </w:r>
          </w:p>
        </w:tc>
        <w:tc>
          <w:tcPr>
            <w:tcW w:w="708" w:type="dxa"/>
            <w:gridSpan w:val="2"/>
            <w:tcBorders>
              <w:top w:val="nil"/>
              <w:left w:val="single" w:color="auto" w:sz="4" w:space="0"/>
              <w:bottom w:val="single" w:color="auto" w:sz="4" w:space="0"/>
              <w:right w:val="nil"/>
            </w:tcBorders>
            <w:shd w:val="clear" w:color="auto" w:fill="auto"/>
            <w:vAlign w:val="center"/>
          </w:tcPr>
          <w:p w14:paraId="65066C13">
            <w:pPr>
              <w:autoSpaceDN w:val="0"/>
              <w:jc w:val="center"/>
              <w:rPr>
                <w:rFonts w:ascii="方正仿宋_GBK" w:eastAsia="方正仿宋_GBK"/>
                <w:color w:val="000000"/>
                <w:sz w:val="18"/>
                <w:szCs w:val="18"/>
              </w:rPr>
            </w:pPr>
          </w:p>
        </w:tc>
        <w:tc>
          <w:tcPr>
            <w:tcW w:w="851" w:type="dxa"/>
            <w:gridSpan w:val="2"/>
            <w:tcBorders>
              <w:top w:val="nil"/>
              <w:left w:val="single" w:color="auto" w:sz="4" w:space="0"/>
              <w:bottom w:val="single" w:color="auto" w:sz="4" w:space="0"/>
              <w:right w:val="nil"/>
            </w:tcBorders>
            <w:shd w:val="clear" w:color="auto" w:fill="auto"/>
            <w:vAlign w:val="center"/>
          </w:tcPr>
          <w:p w14:paraId="0593D73D">
            <w:pPr>
              <w:autoSpaceDN w:val="0"/>
              <w:jc w:val="center"/>
              <w:rPr>
                <w:rFonts w:ascii="方正仿宋_GBK" w:eastAsia="方正仿宋_GBK"/>
                <w:color w:val="000000"/>
                <w:sz w:val="18"/>
                <w:szCs w:val="18"/>
              </w:rPr>
            </w:pPr>
            <w:r>
              <w:rPr>
                <w:rFonts w:ascii="方正仿宋_GBK" w:eastAsia="方正仿宋_GBK"/>
                <w:color w:val="000000"/>
                <w:sz w:val="18"/>
                <w:szCs w:val="18"/>
              </w:rPr>
              <w:t>95</w:t>
            </w:r>
          </w:p>
        </w:tc>
        <w:tc>
          <w:tcPr>
            <w:tcW w:w="850" w:type="dxa"/>
            <w:tcBorders>
              <w:top w:val="nil"/>
              <w:left w:val="single" w:color="auto" w:sz="4" w:space="0"/>
              <w:bottom w:val="single" w:color="auto" w:sz="4" w:space="0"/>
              <w:right w:val="nil"/>
            </w:tcBorders>
            <w:shd w:val="clear" w:color="auto" w:fill="auto"/>
            <w:vAlign w:val="center"/>
          </w:tcPr>
          <w:p w14:paraId="6375431E">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14:paraId="34ADA83B">
            <w:pPr>
              <w:autoSpaceDN w:val="0"/>
              <w:jc w:val="center"/>
              <w:rPr>
                <w:rFonts w:ascii="方正仿宋_GBK" w:eastAsia="方正仿宋_GBK"/>
                <w:color w:val="000000"/>
                <w:sz w:val="18"/>
                <w:szCs w:val="18"/>
              </w:rPr>
            </w:pPr>
            <w:r>
              <w:rPr>
                <w:rFonts w:ascii="方正仿宋_GBK" w:eastAsia="方正仿宋_GBK"/>
                <w:color w:val="000000"/>
                <w:sz w:val="18"/>
                <w:szCs w:val="18"/>
              </w:rPr>
              <w:t>20</w:t>
            </w:r>
          </w:p>
        </w:tc>
        <w:tc>
          <w:tcPr>
            <w:tcW w:w="850" w:type="dxa"/>
            <w:tcBorders>
              <w:top w:val="nil"/>
              <w:left w:val="single" w:color="auto" w:sz="4" w:space="0"/>
              <w:bottom w:val="single" w:color="auto" w:sz="4" w:space="0"/>
              <w:right w:val="nil"/>
            </w:tcBorders>
            <w:shd w:val="clear" w:color="auto" w:fill="auto"/>
            <w:vAlign w:val="center"/>
          </w:tcPr>
          <w:p w14:paraId="5899341B">
            <w:pPr>
              <w:autoSpaceDN w:val="0"/>
              <w:jc w:val="center"/>
              <w:rPr>
                <w:rFonts w:ascii="方正仿宋_GBK" w:eastAsia="方正仿宋_GBK"/>
                <w:color w:val="000000"/>
                <w:sz w:val="18"/>
                <w:szCs w:val="18"/>
              </w:rPr>
            </w:pPr>
            <w:r>
              <w:rPr>
                <w:rFonts w:ascii="方正仿宋_GBK" w:eastAsia="方正仿宋_GBK"/>
                <w:color w:val="000000"/>
                <w:sz w:val="18"/>
                <w:szCs w:val="18"/>
              </w:rPr>
              <w:t>20</w:t>
            </w:r>
          </w:p>
        </w:tc>
        <w:tc>
          <w:tcPr>
            <w:tcW w:w="851" w:type="dxa"/>
            <w:tcBorders>
              <w:top w:val="nil"/>
              <w:left w:val="single" w:color="auto" w:sz="4" w:space="0"/>
              <w:bottom w:val="single" w:color="auto" w:sz="4" w:space="0"/>
              <w:right w:val="single" w:color="auto" w:sz="4" w:space="0"/>
            </w:tcBorders>
            <w:shd w:val="clear" w:color="auto" w:fill="auto"/>
            <w:vAlign w:val="center"/>
          </w:tcPr>
          <w:p w14:paraId="3FAA9F6B">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14:paraId="017D1047">
        <w:tblPrEx>
          <w:tblCellMar>
            <w:top w:w="0" w:type="dxa"/>
            <w:left w:w="108" w:type="dxa"/>
            <w:bottom w:w="0" w:type="dxa"/>
            <w:right w:w="108" w:type="dxa"/>
          </w:tblCellMar>
        </w:tblPrEx>
        <w:trPr>
          <w:trHeight w:val="755" w:hRule="atLeast"/>
        </w:trPr>
        <w:tc>
          <w:tcPr>
            <w:tcW w:w="1002" w:type="dxa"/>
            <w:tcBorders>
              <w:top w:val="nil"/>
              <w:left w:val="single" w:color="auto" w:sz="4" w:space="0"/>
              <w:bottom w:val="single" w:color="auto" w:sz="4" w:space="0"/>
              <w:right w:val="single" w:color="auto" w:sz="4" w:space="0"/>
            </w:tcBorders>
            <w:shd w:val="clear" w:color="auto" w:fill="auto"/>
            <w:vAlign w:val="center"/>
          </w:tcPr>
          <w:p w14:paraId="3EFFDDA6">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8213" w:type="dxa"/>
            <w:gridSpan w:val="13"/>
            <w:tcBorders>
              <w:top w:val="single" w:color="auto" w:sz="4" w:space="0"/>
              <w:left w:val="nil"/>
              <w:bottom w:val="single" w:color="auto" w:sz="4" w:space="0"/>
              <w:right w:val="single" w:color="auto" w:sz="4" w:space="0"/>
            </w:tcBorders>
            <w:shd w:val="clear" w:color="auto" w:fill="auto"/>
            <w:vAlign w:val="center"/>
          </w:tcPr>
          <w:p w14:paraId="23BD264C">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w:t>
            </w:r>
          </w:p>
        </w:tc>
      </w:tr>
    </w:tbl>
    <w:p w14:paraId="1110483E">
      <w:pPr>
        <w:tabs>
          <w:tab w:val="center" w:pos="4153"/>
          <w:tab w:val="left" w:pos="7275"/>
        </w:tabs>
        <w:spacing w:line="600" w:lineRule="exact"/>
        <w:rPr>
          <w:rFonts w:ascii="Times New Roman" w:hAnsi="Times New Roman" w:eastAsia="方正仿宋_GBK"/>
          <w:sz w:val="32"/>
          <w:szCs w:val="32"/>
        </w:rPr>
      </w:pPr>
    </w:p>
    <w:p w14:paraId="06EBF78C">
      <w:pPr>
        <w:pStyle w:val="5"/>
        <w:shd w:val="clear" w:color="auto" w:fill="FFFFFF"/>
        <w:spacing w:before="0" w:beforeAutospacing="0" w:after="0" w:afterAutospacing="0" w:line="600" w:lineRule="exact"/>
        <w:ind w:firstLine="640" w:firstLineChars="200"/>
        <w:jc w:val="both"/>
        <w:outlineLvl w:val="0"/>
        <w:rPr>
          <w:rStyle w:val="8"/>
          <w:rFonts w:ascii="方正黑体_GBK" w:eastAsia="方正黑体_GBK"/>
        </w:rPr>
      </w:pPr>
      <w:r>
        <w:rPr>
          <w:rStyle w:val="8"/>
          <w:rFonts w:hint="eastAsia" w:ascii="方正黑体_GBK" w:eastAsia="方正黑体_GBK"/>
          <w:b w:val="0"/>
          <w:sz w:val="32"/>
          <w:szCs w:val="32"/>
        </w:rPr>
        <w:t>六、专业名词解释</w:t>
      </w:r>
    </w:p>
    <w:p w14:paraId="7622D624">
      <w:pPr>
        <w:pStyle w:val="12"/>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（一）财政拨款收入</w:t>
      </w:r>
    </w:p>
    <w:p w14:paraId="1B26D4ED">
      <w:pPr>
        <w:pStyle w:val="12"/>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指本年度从本级财政部门取得的财政拨款，包括一般公共预算财政拨款和政府性基金预算财政拨款。</w:t>
      </w:r>
    </w:p>
    <w:p w14:paraId="699B13A1">
      <w:pPr>
        <w:pStyle w:val="12"/>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（二）年初结转和结余</w:t>
      </w:r>
    </w:p>
    <w:p w14:paraId="5343B55B">
      <w:pPr>
        <w:pStyle w:val="12"/>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指单位上年结转本年使用的基本支出结转、项目支出结转和结余、经营结余。</w:t>
      </w:r>
    </w:p>
    <w:p w14:paraId="01F348CA">
      <w:pPr>
        <w:pStyle w:val="12"/>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（三）年末结转和结余</w:t>
      </w:r>
    </w:p>
    <w:p w14:paraId="36403204">
      <w:pPr>
        <w:pStyle w:val="12"/>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指单位结转下年的基本支出结转、项目支出结转和结余、经营结余。</w:t>
      </w:r>
    </w:p>
    <w:p w14:paraId="60FA1E30">
      <w:pPr>
        <w:pStyle w:val="12"/>
        <w:tabs>
          <w:tab w:val="center" w:pos="4153"/>
          <w:tab w:val="left" w:pos="7275"/>
        </w:tabs>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（四）基本支出</w:t>
      </w:r>
    </w:p>
    <w:p w14:paraId="099083CF">
      <w:pPr>
        <w:pStyle w:val="12"/>
        <w:tabs>
          <w:tab w:val="center" w:pos="4153"/>
          <w:tab w:val="left" w:pos="7275"/>
        </w:tabs>
        <w:spacing w:line="560" w:lineRule="exact"/>
        <w:ind w:firstLine="640"/>
        <w:rPr>
          <w:rFonts w:ascii="方正仿宋_GBK" w:eastAsia="方正仿宋_GBK"/>
          <w:sz w:val="32"/>
          <w:szCs w:val="32"/>
        </w:rPr>
      </w:pP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5A1078C">
      <w:pPr>
        <w:pStyle w:val="5"/>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（五）项目支出</w:t>
      </w:r>
    </w:p>
    <w:p w14:paraId="36631387">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指在基本支出之外为完成特定行政任务和事业发展目标所发生的支出。</w:t>
      </w:r>
    </w:p>
    <w:p w14:paraId="66EC38B5">
      <w:pPr>
        <w:pStyle w:val="5"/>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（六）“三公”经费</w:t>
      </w:r>
    </w:p>
    <w:p w14:paraId="4A599100">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D72F20">
      <w:pPr>
        <w:pStyle w:val="5"/>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（七）机关运行经费</w:t>
      </w:r>
    </w:p>
    <w:p w14:paraId="5B2AEB52">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298DCE8">
      <w:pPr>
        <w:pStyle w:val="5"/>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（八）工资福利支出（支出经济分类科目类级）</w:t>
      </w:r>
    </w:p>
    <w:p w14:paraId="4E9775CA">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反映单位开支的在职职工和编制外长期聘用人员的各类劳动报酬，以及为上述人员缴纳的各项社会保险费等。</w:t>
      </w:r>
    </w:p>
    <w:p w14:paraId="078D5D2A">
      <w:pPr>
        <w:pStyle w:val="5"/>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（九）商品和服务支出（支出经济分类科目类级）</w:t>
      </w:r>
    </w:p>
    <w:p w14:paraId="2DC7E6B5">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反映单位购买商品和服务的支出（不包括用于购置固定资产的支出、战略性和应急储备支出）。</w:t>
      </w:r>
    </w:p>
    <w:p w14:paraId="29F7DFC4">
      <w:pPr>
        <w:pStyle w:val="5"/>
        <w:shd w:val="clear" w:color="auto" w:fill="FFFFFF"/>
        <w:spacing w:before="0" w:beforeAutospacing="0" w:after="0" w:afterAutospacing="0" w:line="600" w:lineRule="exact"/>
        <w:ind w:firstLine="643" w:firstLineChars="200"/>
        <w:jc w:val="both"/>
        <w:rPr>
          <w:rFonts w:ascii="楷体" w:hAnsi="楷体" w:eastAsia="楷体"/>
          <w:b/>
          <w:sz w:val="32"/>
          <w:szCs w:val="32"/>
        </w:rPr>
      </w:pPr>
      <w:r>
        <w:rPr>
          <w:rFonts w:hint="eastAsia" w:ascii="楷体" w:hAnsi="楷体" w:eastAsia="楷体"/>
          <w:b/>
          <w:sz w:val="32"/>
          <w:szCs w:val="32"/>
        </w:rPr>
        <w:t>（十）对个人和家庭的补助（支出经济分类科目类级）</w:t>
      </w:r>
    </w:p>
    <w:p w14:paraId="42B9B3C4">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反映用于对个人和家庭的补助支出。</w:t>
      </w:r>
    </w:p>
    <w:p w14:paraId="6E82164E">
      <w:pPr>
        <w:pStyle w:val="5"/>
        <w:shd w:val="clear" w:color="auto" w:fill="FFFFFF"/>
        <w:spacing w:before="0" w:beforeAutospacing="0" w:after="0" w:afterAutospacing="0" w:line="600" w:lineRule="exact"/>
        <w:ind w:firstLine="643" w:firstLineChars="200"/>
        <w:jc w:val="both"/>
        <w:rPr>
          <w:rFonts w:hint="eastAsia" w:ascii="楷体" w:hAnsi="楷体" w:eastAsia="楷体"/>
          <w:b/>
          <w:sz w:val="32"/>
          <w:szCs w:val="32"/>
        </w:rPr>
      </w:pPr>
      <w:r>
        <w:rPr>
          <w:rFonts w:hint="eastAsia" w:ascii="楷体" w:hAnsi="楷体" w:eastAsia="楷体"/>
          <w:b/>
          <w:sz w:val="32"/>
          <w:szCs w:val="32"/>
        </w:rPr>
        <w:t>（十一）其他资本性支出（支出经济分类科目类级）</w:t>
      </w:r>
    </w:p>
    <w:p w14:paraId="049D1385">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2BCAE970">
      <w:pPr>
        <w:pStyle w:val="5"/>
        <w:shd w:val="clear" w:color="auto" w:fill="FFFFFF"/>
        <w:spacing w:before="0" w:beforeAutospacing="0" w:after="0" w:afterAutospacing="0" w:line="600" w:lineRule="exact"/>
        <w:ind w:firstLine="640" w:firstLineChars="200"/>
        <w:jc w:val="both"/>
        <w:rPr>
          <w:rFonts w:ascii="黑体" w:hAnsi="黑体" w:eastAsia="黑体"/>
          <w:b/>
          <w:sz w:val="32"/>
          <w:szCs w:val="32"/>
        </w:rPr>
      </w:pPr>
      <w:r>
        <w:rPr>
          <w:rStyle w:val="8"/>
          <w:rFonts w:hint="eastAsia" w:ascii="黑体" w:hAnsi="黑体" w:eastAsia="黑体"/>
          <w:b w:val="0"/>
          <w:sz w:val="32"/>
          <w:szCs w:val="32"/>
        </w:rPr>
        <w:t>七、决算公开联系方式及信息反馈渠道</w:t>
      </w:r>
    </w:p>
    <w:p w14:paraId="6FBC95AC">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本单位决算公开信息反馈和联系方式：023-62832876。</w:t>
      </w:r>
    </w:p>
    <w:p w14:paraId="3337A1AC">
      <w:pPr>
        <w:pStyle w:val="5"/>
        <w:shd w:val="clear" w:color="auto" w:fill="FFFFFF"/>
        <w:spacing w:before="0" w:beforeAutospacing="0" w:after="0" w:afterAutospacing="0" w:line="600" w:lineRule="exact"/>
        <w:jc w:val="both"/>
        <w:rPr>
          <w:rFonts w:ascii="方正仿宋_GBK" w:eastAsia="方正仿宋_GBK"/>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docPartObj>
        <w:docPartGallery w:val="AutoText"/>
      </w:docPartObj>
    </w:sdtPr>
    <w:sdtContent>
      <w:p w14:paraId="22450E84">
        <w:pPr>
          <w:pStyle w:val="3"/>
          <w:jc w:val="center"/>
        </w:pPr>
      </w:p>
      <w:p w14:paraId="2C7EA8C8">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16</w:t>
        </w:r>
        <w:r>
          <w:rPr>
            <w:rFonts w:ascii="Times New Roman" w:hAnsi="Times New Roman" w:cs="Times New Roman"/>
            <w:sz w:val="21"/>
            <w:szCs w:val="21"/>
          </w:rPr>
          <w:fldChar w:fldCharType="end"/>
        </w:r>
      </w:p>
    </w:sdtContent>
  </w:sdt>
  <w:p w14:paraId="6A788C6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9A41FA"/>
    <w:rsid w:val="00007A7E"/>
    <w:rsid w:val="00024C0B"/>
    <w:rsid w:val="000442B6"/>
    <w:rsid w:val="000478A4"/>
    <w:rsid w:val="00047D0C"/>
    <w:rsid w:val="00065022"/>
    <w:rsid w:val="0007628E"/>
    <w:rsid w:val="00081AAF"/>
    <w:rsid w:val="00090199"/>
    <w:rsid w:val="000B5109"/>
    <w:rsid w:val="00115962"/>
    <w:rsid w:val="00146F8A"/>
    <w:rsid w:val="00195915"/>
    <w:rsid w:val="001A6833"/>
    <w:rsid w:val="001C4D44"/>
    <w:rsid w:val="001E63C3"/>
    <w:rsid w:val="001F4420"/>
    <w:rsid w:val="00220AEB"/>
    <w:rsid w:val="00221A09"/>
    <w:rsid w:val="00223621"/>
    <w:rsid w:val="00224DF0"/>
    <w:rsid w:val="00243FB8"/>
    <w:rsid w:val="0024719C"/>
    <w:rsid w:val="002568A0"/>
    <w:rsid w:val="002637BE"/>
    <w:rsid w:val="00277F37"/>
    <w:rsid w:val="002904C6"/>
    <w:rsid w:val="00297E1D"/>
    <w:rsid w:val="002C2954"/>
    <w:rsid w:val="002C75E6"/>
    <w:rsid w:val="002D1509"/>
    <w:rsid w:val="002E2B05"/>
    <w:rsid w:val="002F5530"/>
    <w:rsid w:val="0030438F"/>
    <w:rsid w:val="00313E61"/>
    <w:rsid w:val="00316F52"/>
    <w:rsid w:val="00317DE3"/>
    <w:rsid w:val="00323DC8"/>
    <w:rsid w:val="003269CF"/>
    <w:rsid w:val="00336823"/>
    <w:rsid w:val="00337D75"/>
    <w:rsid w:val="003463D8"/>
    <w:rsid w:val="003755BA"/>
    <w:rsid w:val="00382942"/>
    <w:rsid w:val="00390FF2"/>
    <w:rsid w:val="0039385F"/>
    <w:rsid w:val="003A0844"/>
    <w:rsid w:val="003C530E"/>
    <w:rsid w:val="00411B69"/>
    <w:rsid w:val="0041203C"/>
    <w:rsid w:val="00420E29"/>
    <w:rsid w:val="00457945"/>
    <w:rsid w:val="004717EC"/>
    <w:rsid w:val="00480583"/>
    <w:rsid w:val="004916C6"/>
    <w:rsid w:val="00492689"/>
    <w:rsid w:val="004A381B"/>
    <w:rsid w:val="004D4D09"/>
    <w:rsid w:val="005121F1"/>
    <w:rsid w:val="00513303"/>
    <w:rsid w:val="00522CB3"/>
    <w:rsid w:val="005257E0"/>
    <w:rsid w:val="00564C8D"/>
    <w:rsid w:val="00586578"/>
    <w:rsid w:val="00590416"/>
    <w:rsid w:val="005F01A1"/>
    <w:rsid w:val="00626810"/>
    <w:rsid w:val="0063459A"/>
    <w:rsid w:val="006443CC"/>
    <w:rsid w:val="0065179F"/>
    <w:rsid w:val="00693C2A"/>
    <w:rsid w:val="00697B8B"/>
    <w:rsid w:val="006B3A67"/>
    <w:rsid w:val="006C6AC8"/>
    <w:rsid w:val="006E133F"/>
    <w:rsid w:val="006E3A47"/>
    <w:rsid w:val="006E465B"/>
    <w:rsid w:val="006E47B1"/>
    <w:rsid w:val="006E6C82"/>
    <w:rsid w:val="006F08AE"/>
    <w:rsid w:val="006F3BF5"/>
    <w:rsid w:val="0073352C"/>
    <w:rsid w:val="00737490"/>
    <w:rsid w:val="00772E20"/>
    <w:rsid w:val="007813B9"/>
    <w:rsid w:val="0079152B"/>
    <w:rsid w:val="0079483A"/>
    <w:rsid w:val="007C3702"/>
    <w:rsid w:val="007F0230"/>
    <w:rsid w:val="007F1469"/>
    <w:rsid w:val="007F3C73"/>
    <w:rsid w:val="00820C59"/>
    <w:rsid w:val="008265B9"/>
    <w:rsid w:val="008415ED"/>
    <w:rsid w:val="00844149"/>
    <w:rsid w:val="008730DE"/>
    <w:rsid w:val="0087676C"/>
    <w:rsid w:val="0088080E"/>
    <w:rsid w:val="00882FF5"/>
    <w:rsid w:val="0089240E"/>
    <w:rsid w:val="008A039E"/>
    <w:rsid w:val="008C17FA"/>
    <w:rsid w:val="008C2AA4"/>
    <w:rsid w:val="008C4BAF"/>
    <w:rsid w:val="008C4C79"/>
    <w:rsid w:val="008C5142"/>
    <w:rsid w:val="008C555F"/>
    <w:rsid w:val="008F18D8"/>
    <w:rsid w:val="0090384D"/>
    <w:rsid w:val="0091268F"/>
    <w:rsid w:val="00915B1D"/>
    <w:rsid w:val="009167F0"/>
    <w:rsid w:val="00920078"/>
    <w:rsid w:val="00942D5C"/>
    <w:rsid w:val="009738B0"/>
    <w:rsid w:val="00997668"/>
    <w:rsid w:val="009A41FA"/>
    <w:rsid w:val="009D65BE"/>
    <w:rsid w:val="009F1CA4"/>
    <w:rsid w:val="00A21821"/>
    <w:rsid w:val="00A31CCA"/>
    <w:rsid w:val="00A345DA"/>
    <w:rsid w:val="00A43F98"/>
    <w:rsid w:val="00A459EF"/>
    <w:rsid w:val="00A70EC9"/>
    <w:rsid w:val="00AB6AE4"/>
    <w:rsid w:val="00AD759E"/>
    <w:rsid w:val="00B61C9F"/>
    <w:rsid w:val="00B945A0"/>
    <w:rsid w:val="00BA1FD6"/>
    <w:rsid w:val="00BA2111"/>
    <w:rsid w:val="00BC5277"/>
    <w:rsid w:val="00C6578B"/>
    <w:rsid w:val="00C76068"/>
    <w:rsid w:val="00C82064"/>
    <w:rsid w:val="00C947A8"/>
    <w:rsid w:val="00C94BD4"/>
    <w:rsid w:val="00CB1DD2"/>
    <w:rsid w:val="00CE27F6"/>
    <w:rsid w:val="00D15BEB"/>
    <w:rsid w:val="00D33E16"/>
    <w:rsid w:val="00D639BB"/>
    <w:rsid w:val="00D73116"/>
    <w:rsid w:val="00D93249"/>
    <w:rsid w:val="00DA738B"/>
    <w:rsid w:val="00DC313B"/>
    <w:rsid w:val="00DC346B"/>
    <w:rsid w:val="00DD511A"/>
    <w:rsid w:val="00DF1C25"/>
    <w:rsid w:val="00E07898"/>
    <w:rsid w:val="00E2155A"/>
    <w:rsid w:val="00E21D43"/>
    <w:rsid w:val="00E25203"/>
    <w:rsid w:val="00E6565A"/>
    <w:rsid w:val="00E77FB3"/>
    <w:rsid w:val="00F31296"/>
    <w:rsid w:val="00F364CA"/>
    <w:rsid w:val="00F543F6"/>
    <w:rsid w:val="00F554AF"/>
    <w:rsid w:val="00F63D28"/>
    <w:rsid w:val="00F6512D"/>
    <w:rsid w:val="00F75F53"/>
    <w:rsid w:val="00F8277D"/>
    <w:rsid w:val="00FC43F9"/>
    <w:rsid w:val="00FD7BB0"/>
    <w:rsid w:val="00FE2914"/>
    <w:rsid w:val="00FE4C30"/>
    <w:rsid w:val="61244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Char"/>
    <w:basedOn w:val="7"/>
    <w:link w:val="4"/>
    <w:semiHidden/>
    <w:locked/>
    <w:uiPriority w:val="99"/>
    <w:rPr>
      <w:rFonts w:hint="eastAsia" w:ascii="宋体" w:hAnsi="宋体" w:eastAsia="宋体" w:cs="宋体"/>
      <w:sz w:val="18"/>
      <w:szCs w:val="18"/>
    </w:rPr>
  </w:style>
  <w:style w:type="character" w:customStyle="1" w:styleId="10">
    <w:name w:val="页脚 Char"/>
    <w:basedOn w:val="7"/>
    <w:link w:val="3"/>
    <w:locked/>
    <w:uiPriority w:val="99"/>
    <w:rPr>
      <w:rFonts w:hint="eastAsia" w:ascii="宋体" w:hAnsi="宋体" w:eastAsia="宋体" w:cs="宋体"/>
      <w:sz w:val="18"/>
      <w:szCs w:val="18"/>
    </w:rPr>
  </w:style>
  <w:style w:type="character" w:customStyle="1" w:styleId="11">
    <w:name w:val="文档结构图 Char"/>
    <w:basedOn w:val="7"/>
    <w:link w:val="2"/>
    <w:semiHidden/>
    <w:locked/>
    <w:uiPriority w:val="99"/>
    <w:rPr>
      <w:rFonts w:hint="eastAsia" w:ascii="宋体" w:hAnsi="宋体" w:eastAsia="宋体" w:cs="宋体"/>
      <w:sz w:val="18"/>
      <w:szCs w:val="18"/>
    </w:rPr>
  </w:style>
  <w:style w:type="paragraph" w:styleId="1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3">
    <w:name w:val="msonormal"/>
    <w:basedOn w:val="1"/>
    <w:semiHidden/>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F97B-B4F0-4531-A318-83CC73760D2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6740</Words>
  <Characters>7469</Characters>
  <Lines>55</Lines>
  <Paragraphs>15</Paragraphs>
  <TotalTime>670</TotalTime>
  <ScaleCrop>false</ScaleCrop>
  <LinksUpToDate>false</LinksUpToDate>
  <CharactersWithSpaces>7573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wing</cp:lastModifiedBy>
  <cp:lastPrinted>2021-08-31T06:34:00Z</cp:lastPrinted>
  <dcterms:modified xsi:type="dcterms:W3CDTF">2024-12-20T09:03:47Z</dcterms:modified>
  <dc:title>公开报告模板</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DCBBABC13E9A420E84805309066D3060_12</vt:lpwstr>
  </property>
</Properties>
</file>