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0F7F2">
      <w:pPr>
        <w:pStyle w:val="6"/>
        <w:shd w:val="clear" w:color="auto" w:fill="FFFFFF"/>
        <w:spacing w:before="0" w:beforeAutospacing="0" w:after="0" w:afterAutospacing="0" w:line="560" w:lineRule="exact"/>
        <w:jc w:val="center"/>
        <w:rPr>
          <w:rFonts w:ascii="方正小标宋_GBK" w:eastAsia="方正小标宋_GBK"/>
          <w:sz w:val="44"/>
          <w:szCs w:val="44"/>
        </w:rPr>
      </w:pPr>
      <w:bookmarkStart w:id="0" w:name="_GoBack"/>
      <w:bookmarkEnd w:id="0"/>
      <w:r>
        <w:rPr>
          <w:rFonts w:hint="eastAsia" w:ascii="方正小标宋_GBK" w:eastAsia="方正小标宋_GBK"/>
          <w:sz w:val="44"/>
          <w:szCs w:val="44"/>
        </w:rPr>
        <w:t>重庆市南岸区人民政府</w:t>
      </w:r>
    </w:p>
    <w:p w14:paraId="4B4866AB">
      <w:pPr>
        <w:pStyle w:val="6"/>
        <w:shd w:val="clear" w:color="auto" w:fill="FFFFFF"/>
        <w:spacing w:before="0" w:beforeAutospacing="0" w:after="0" w:afterAutospacing="0" w:line="560" w:lineRule="exact"/>
        <w:jc w:val="center"/>
        <w:rPr>
          <w:rFonts w:ascii="方正小标宋_GBK" w:eastAsia="方正小标宋_GBK"/>
          <w:sz w:val="44"/>
          <w:szCs w:val="44"/>
        </w:rPr>
      </w:pPr>
      <w:r>
        <w:rPr>
          <w:rFonts w:hint="eastAsia" w:ascii="方正小标宋_GBK" w:eastAsia="方正小标宋_GBK"/>
          <w:sz w:val="44"/>
          <w:szCs w:val="44"/>
        </w:rPr>
        <w:t>铜元局街道办事处2020年度部门决算</w:t>
      </w:r>
    </w:p>
    <w:p w14:paraId="6AF2ACB6">
      <w:pPr>
        <w:pStyle w:val="6"/>
        <w:shd w:val="clear" w:color="auto" w:fill="FFFFFF"/>
        <w:spacing w:before="0" w:beforeAutospacing="0" w:after="0" w:afterAutospacing="0" w:line="560" w:lineRule="exact"/>
        <w:jc w:val="center"/>
        <w:rPr>
          <w:rFonts w:ascii="方正小标宋_GBK" w:eastAsia="方正小标宋_GBK"/>
          <w:sz w:val="44"/>
          <w:szCs w:val="44"/>
        </w:rPr>
      </w:pPr>
      <w:r>
        <w:rPr>
          <w:rFonts w:hint="eastAsia" w:ascii="方正小标宋_GBK" w:eastAsia="方正小标宋_GBK"/>
          <w:sz w:val="44"/>
          <w:szCs w:val="44"/>
        </w:rPr>
        <w:t>情况说明</w:t>
      </w:r>
    </w:p>
    <w:p w14:paraId="39BAA58B">
      <w:pPr>
        <w:pStyle w:val="6"/>
        <w:shd w:val="clear" w:color="auto" w:fill="FFFFFF"/>
        <w:spacing w:before="0" w:beforeAutospacing="0" w:after="0" w:afterAutospacing="0" w:line="560" w:lineRule="exact"/>
        <w:ind w:firstLine="880" w:firstLineChars="200"/>
        <w:jc w:val="both"/>
        <w:rPr>
          <w:rFonts w:ascii="方正小标宋_GBK" w:eastAsia="方正小标宋_GBK"/>
          <w:sz w:val="44"/>
          <w:szCs w:val="44"/>
        </w:rPr>
      </w:pPr>
    </w:p>
    <w:p w14:paraId="4E4A244F">
      <w:pPr>
        <w:pStyle w:val="6"/>
        <w:shd w:val="clear" w:color="auto" w:fill="FFFFFF"/>
        <w:spacing w:before="0" w:beforeAutospacing="0" w:after="0" w:afterAutospacing="0" w:line="560" w:lineRule="exact"/>
        <w:ind w:firstLine="640" w:firstLineChars="200"/>
        <w:jc w:val="both"/>
        <w:rPr>
          <w:rStyle w:val="9"/>
          <w:rFonts w:ascii="黑体" w:hAnsi="黑体" w:eastAsia="黑体"/>
          <w:b w:val="0"/>
          <w:sz w:val="32"/>
          <w:szCs w:val="32"/>
        </w:rPr>
      </w:pPr>
      <w:r>
        <w:rPr>
          <w:rStyle w:val="9"/>
          <w:rFonts w:hint="eastAsia" w:ascii="黑体" w:hAnsi="黑体" w:eastAsia="黑体"/>
          <w:b w:val="0"/>
          <w:sz w:val="32"/>
          <w:szCs w:val="32"/>
        </w:rPr>
        <w:t>一、部门基本情况</w:t>
      </w:r>
    </w:p>
    <w:p w14:paraId="5BDFA813">
      <w:pPr>
        <w:ind w:firstLine="640"/>
        <w:jc w:val="both"/>
        <w:rPr>
          <w:rFonts w:ascii="楷体" w:hAnsi="楷体" w:eastAsia="楷体"/>
        </w:rPr>
      </w:pPr>
      <w:r>
        <w:rPr>
          <w:rFonts w:hint="eastAsia" w:ascii="楷体" w:hAnsi="楷体" w:eastAsia="楷体"/>
          <w:b/>
          <w:sz w:val="32"/>
          <w:szCs w:val="32"/>
        </w:rPr>
        <w:t>（一）职能职责</w:t>
      </w:r>
    </w:p>
    <w:p w14:paraId="1FA71297">
      <w:pPr>
        <w:ind w:firstLine="640"/>
        <w:jc w:val="both"/>
        <w:rPr>
          <w:rFonts w:ascii="方正仿宋_GBK" w:eastAsia="方正仿宋_GBK"/>
          <w:sz w:val="32"/>
          <w:szCs w:val="32"/>
        </w:rPr>
      </w:pPr>
      <w:r>
        <w:rPr>
          <w:rFonts w:hint="eastAsia" w:ascii="方正仿宋_GBK" w:eastAsia="方正仿宋_GBK"/>
          <w:sz w:val="32"/>
          <w:szCs w:val="32"/>
        </w:rPr>
        <w:t>1．全面贯彻党的路线、方针、政策，执行上级国家行政机关的决定和命令，按照职责权限依法制定行政措施。</w:t>
      </w:r>
    </w:p>
    <w:p w14:paraId="52585A0B">
      <w:pPr>
        <w:ind w:firstLine="640"/>
        <w:jc w:val="both"/>
        <w:rPr>
          <w:rFonts w:ascii="方正仿宋_GBK" w:eastAsia="方正仿宋_GBK"/>
          <w:sz w:val="32"/>
          <w:szCs w:val="32"/>
        </w:rPr>
      </w:pPr>
      <w:r>
        <w:rPr>
          <w:rFonts w:hint="eastAsia" w:ascii="方正仿宋_GBK" w:eastAsia="方正仿宋_GBK"/>
          <w:sz w:val="32"/>
          <w:szCs w:val="32"/>
        </w:rPr>
        <w:t xml:space="preserve">2．编报和执行本辖区内国民经济和社会发展计划，并做好统计工作；负责本辖区经济发展管理工作，繁荣区域经济。根据政府授权组织实施辖区内经济社会发展项目。 </w:t>
      </w:r>
    </w:p>
    <w:p w14:paraId="215CC456">
      <w:pPr>
        <w:ind w:firstLine="640"/>
        <w:jc w:val="both"/>
        <w:rPr>
          <w:rFonts w:ascii="方正仿宋_GBK" w:eastAsia="方正仿宋_GBK"/>
          <w:sz w:val="32"/>
          <w:szCs w:val="32"/>
        </w:rPr>
      </w:pPr>
      <w:r>
        <w:rPr>
          <w:rFonts w:hint="eastAsia" w:ascii="方正仿宋_GBK" w:eastAsia="方正仿宋_GBK"/>
          <w:sz w:val="32"/>
          <w:szCs w:val="32"/>
        </w:rPr>
        <w:t>3．负责本辖区科学、教育、文化、卫生、体育、计划生育、环境和资源保护、安全、生产劳动和社会保障、民政、政府法制等行政工作。</w:t>
      </w:r>
    </w:p>
    <w:p w14:paraId="10E02AC0">
      <w:pPr>
        <w:ind w:firstLine="640"/>
        <w:jc w:val="both"/>
        <w:rPr>
          <w:rFonts w:ascii="方正仿宋_GBK" w:eastAsia="方正仿宋_GBK"/>
          <w:sz w:val="32"/>
          <w:szCs w:val="32"/>
        </w:rPr>
      </w:pPr>
      <w:r>
        <w:rPr>
          <w:rFonts w:hint="eastAsia" w:ascii="方正仿宋_GBK" w:eastAsia="方正仿宋_GBK"/>
          <w:sz w:val="32"/>
          <w:szCs w:val="32"/>
        </w:rPr>
        <w:t>4．负责本辖区精神文明建设工作，组织开展创建文明城市、文明社区、文明单位、居民自治模范社区、群众性文化体育等活动，组织开展民主法制教育和社会公德教育，提高全民素质。</w:t>
      </w:r>
    </w:p>
    <w:p w14:paraId="5EA200C1">
      <w:pPr>
        <w:ind w:firstLine="640"/>
        <w:jc w:val="both"/>
        <w:rPr>
          <w:rFonts w:ascii="方正仿宋_GBK" w:eastAsia="方正仿宋_GBK"/>
          <w:sz w:val="32"/>
          <w:szCs w:val="32"/>
        </w:rPr>
      </w:pPr>
      <w:r>
        <w:rPr>
          <w:rFonts w:hint="eastAsia" w:ascii="方正仿宋_GBK" w:eastAsia="方正仿宋_GBK"/>
          <w:sz w:val="32"/>
          <w:szCs w:val="32"/>
        </w:rPr>
        <w:t>5．配合区政府有关部门做好城市管理工作。负责管理大街小巷和居民区的清洁、绿化、亮化工作；组织开展爱国卫生活动；协助政府有关部门做好城市规划、建设管理和国土资源管理工作。</w:t>
      </w:r>
    </w:p>
    <w:p w14:paraId="66FEE834">
      <w:pPr>
        <w:ind w:firstLine="640"/>
        <w:jc w:val="both"/>
        <w:rPr>
          <w:rFonts w:ascii="方正仿宋_GBK" w:eastAsia="方正仿宋_GBK"/>
          <w:sz w:val="32"/>
          <w:szCs w:val="32"/>
        </w:rPr>
      </w:pPr>
      <w:r>
        <w:rPr>
          <w:rFonts w:hint="eastAsia" w:ascii="方正仿宋_GBK" w:eastAsia="方正仿宋_GBK"/>
          <w:sz w:val="32"/>
          <w:szCs w:val="32"/>
        </w:rPr>
        <w:t>6．负责本辖区社区建设、管理、服务工作。指导居委会开展工作，反映社区居民的意见和要求，处理人民来信来访；按属地管理原则，制订本辖区社会治安综合治理规划并组织实施人民调解、治安保卫工作，维护社会秩序和社会稳定；举办便民、利民的社区公共事务和公共福利事业，负责社区公共服务设施、公共服务机构建设，负责优抚安置、救灾救济、拥军优属、殡葬改革、老龄事业及维护残疾人合法权益等工作。</w:t>
      </w:r>
    </w:p>
    <w:p w14:paraId="43480307">
      <w:pPr>
        <w:ind w:firstLine="640"/>
        <w:jc w:val="both"/>
        <w:rPr>
          <w:rFonts w:ascii="方正仿宋_GBK" w:eastAsia="方正仿宋_GBK"/>
          <w:sz w:val="32"/>
          <w:szCs w:val="32"/>
        </w:rPr>
      </w:pPr>
      <w:r>
        <w:rPr>
          <w:rFonts w:hint="eastAsia" w:ascii="方正仿宋_GBK" w:eastAsia="方正仿宋_GBK"/>
          <w:sz w:val="32"/>
          <w:szCs w:val="32"/>
        </w:rPr>
        <w:t xml:space="preserve">7．保护辖区内全民所有的财产和集体所有的财产安全，保护公民私人所有的合法财产，保障公民的人身权利、民主权利和其它合法权利；保证各种经济组织合法权益。 </w:t>
      </w:r>
    </w:p>
    <w:p w14:paraId="20FF7E79">
      <w:pPr>
        <w:ind w:firstLine="640"/>
        <w:jc w:val="both"/>
        <w:rPr>
          <w:rFonts w:ascii="方正仿宋_GBK" w:eastAsia="方正仿宋_GBK"/>
          <w:sz w:val="32"/>
          <w:szCs w:val="32"/>
        </w:rPr>
      </w:pPr>
      <w:r>
        <w:rPr>
          <w:rFonts w:hint="eastAsia" w:ascii="方正仿宋_GBK" w:eastAsia="方正仿宋_GBK"/>
          <w:sz w:val="32"/>
          <w:szCs w:val="32"/>
        </w:rPr>
        <w:t>8．保障宪法和法律赋予妇女的男女平等、同工同酬和婚姻自由等各项权利。</w:t>
      </w:r>
    </w:p>
    <w:p w14:paraId="4B7DA422">
      <w:pPr>
        <w:ind w:firstLine="640"/>
        <w:jc w:val="both"/>
        <w:rPr>
          <w:rFonts w:ascii="方正仿宋_GBK" w:eastAsia="方正仿宋_GBK"/>
          <w:sz w:val="32"/>
          <w:szCs w:val="32"/>
        </w:rPr>
      </w:pPr>
      <w:r>
        <w:rPr>
          <w:rFonts w:hint="eastAsia" w:ascii="方正仿宋_GBK" w:eastAsia="方正仿宋_GBK"/>
          <w:sz w:val="32"/>
          <w:szCs w:val="32"/>
        </w:rPr>
        <w:t>9．对政府主管审批的事项提出审核意见。</w:t>
      </w:r>
    </w:p>
    <w:p w14:paraId="7FEBDBEA">
      <w:pPr>
        <w:ind w:firstLine="640"/>
        <w:jc w:val="both"/>
        <w:rPr>
          <w:rFonts w:ascii="方正仿宋_GBK" w:eastAsia="方正仿宋_GBK"/>
          <w:sz w:val="32"/>
          <w:szCs w:val="32"/>
        </w:rPr>
      </w:pPr>
      <w:r>
        <w:rPr>
          <w:rFonts w:hint="eastAsia" w:ascii="方正仿宋_GBK" w:eastAsia="方正仿宋_GBK"/>
          <w:sz w:val="32"/>
          <w:szCs w:val="32"/>
        </w:rPr>
        <w:t>10．领导所属工作部门的工作；改变或者撤消所属工作部门不适当的决定。</w:t>
      </w:r>
    </w:p>
    <w:p w14:paraId="0680D153">
      <w:pPr>
        <w:ind w:firstLine="640"/>
        <w:jc w:val="both"/>
        <w:rPr>
          <w:rFonts w:ascii="方正仿宋_GBK" w:eastAsia="方正仿宋_GBK"/>
          <w:sz w:val="32"/>
          <w:szCs w:val="32"/>
        </w:rPr>
      </w:pPr>
      <w:r>
        <w:rPr>
          <w:rFonts w:hint="eastAsia" w:ascii="方正仿宋_GBK" w:eastAsia="方正仿宋_GBK"/>
          <w:sz w:val="32"/>
          <w:szCs w:val="32"/>
        </w:rPr>
        <w:t>11．依照法律的规定和干部管理权限任免、培训、考核和奖惩本辖区干部、工作人员。</w:t>
      </w:r>
    </w:p>
    <w:p w14:paraId="154DD74D">
      <w:pPr>
        <w:ind w:firstLine="640"/>
        <w:jc w:val="both"/>
        <w:rPr>
          <w:rFonts w:ascii="方正仿宋_GBK" w:eastAsia="方正仿宋_GBK"/>
          <w:sz w:val="32"/>
          <w:szCs w:val="32"/>
        </w:rPr>
      </w:pPr>
      <w:r>
        <w:rPr>
          <w:rFonts w:hint="eastAsia" w:ascii="方正仿宋_GBK" w:eastAsia="方正仿宋_GBK"/>
          <w:sz w:val="32"/>
          <w:szCs w:val="32"/>
        </w:rPr>
        <w:t>12．办理区委、区政府交办的其他工作事项。</w:t>
      </w:r>
    </w:p>
    <w:p w14:paraId="0B5B0639">
      <w:pPr>
        <w:widowControl w:val="0"/>
        <w:ind w:firstLine="640"/>
        <w:jc w:val="both"/>
        <w:rPr>
          <w:rFonts w:ascii="楷体" w:hAnsi="楷体" w:eastAsia="楷体"/>
          <w:b/>
          <w:sz w:val="32"/>
          <w:szCs w:val="32"/>
        </w:rPr>
      </w:pPr>
      <w:r>
        <w:rPr>
          <w:rFonts w:hint="eastAsia" w:ascii="楷体" w:hAnsi="楷体" w:eastAsia="楷体"/>
          <w:b/>
          <w:sz w:val="32"/>
          <w:szCs w:val="32"/>
        </w:rPr>
        <w:t>（二）机构设置</w:t>
      </w:r>
    </w:p>
    <w:p w14:paraId="68D18072">
      <w:pPr>
        <w:ind w:firstLine="640"/>
        <w:jc w:val="both"/>
        <w:rPr>
          <w:rFonts w:ascii="方正仿宋_GBK" w:eastAsia="方正仿宋_GBK"/>
          <w:sz w:val="32"/>
          <w:szCs w:val="32"/>
        </w:rPr>
      </w:pPr>
      <w:r>
        <w:rPr>
          <w:rFonts w:hint="eastAsia" w:ascii="方正仿宋_GBK" w:eastAsia="方正仿宋_GBK"/>
          <w:sz w:val="32"/>
          <w:szCs w:val="32"/>
        </w:rPr>
        <w:t>我街道办事处为区政府的派出机构，属全额拨款行政单位。内设党政办公室、党建工作办公室、经济发展办公室、民政和社会事务办公室、平安建设办公室、规划建设管理环保办公室、财政办公室、应急管理办公室、综合行政执法办公室等9个职能科室，以及城管执法支队一个参公事业单位和社区事务服务中心、社区文化服务中心、劳动就业和社会保障服务所、退役军人服务站、综合行政执法大队、物业管理服务中心等6个事业单位。编制人数57人，实有在职人数</w:t>
      </w:r>
      <w:r>
        <w:rPr>
          <w:rFonts w:ascii="方正仿宋_GBK" w:eastAsia="方正仿宋_GBK"/>
          <w:sz w:val="32"/>
          <w:szCs w:val="32"/>
        </w:rPr>
        <w:t>52</w:t>
      </w:r>
      <w:r>
        <w:rPr>
          <w:rFonts w:hint="eastAsia" w:ascii="方正仿宋_GBK" w:eastAsia="方正仿宋_GBK"/>
          <w:sz w:val="32"/>
          <w:szCs w:val="32"/>
        </w:rPr>
        <w:t>人，退休1</w:t>
      </w:r>
      <w:r>
        <w:rPr>
          <w:rFonts w:ascii="方正仿宋_GBK" w:eastAsia="方正仿宋_GBK"/>
          <w:sz w:val="32"/>
          <w:szCs w:val="32"/>
        </w:rPr>
        <w:t>8</w:t>
      </w:r>
      <w:r>
        <w:rPr>
          <w:rFonts w:hint="eastAsia" w:ascii="方正仿宋_GBK" w:eastAsia="方正仿宋_GBK"/>
          <w:sz w:val="32"/>
          <w:szCs w:val="32"/>
        </w:rPr>
        <w:t>人。</w:t>
      </w:r>
    </w:p>
    <w:p w14:paraId="752502F3">
      <w:pPr>
        <w:widowControl w:val="0"/>
        <w:ind w:firstLine="640"/>
        <w:jc w:val="both"/>
        <w:rPr>
          <w:rFonts w:ascii="楷体" w:hAnsi="楷体" w:eastAsia="楷体"/>
          <w:b/>
          <w:sz w:val="32"/>
          <w:szCs w:val="32"/>
        </w:rPr>
      </w:pPr>
      <w:r>
        <w:rPr>
          <w:rFonts w:hint="eastAsia" w:ascii="楷体" w:hAnsi="楷体" w:eastAsia="楷体"/>
          <w:b/>
          <w:sz w:val="32"/>
          <w:szCs w:val="32"/>
        </w:rPr>
        <w:t>（三）单位构成</w:t>
      </w:r>
    </w:p>
    <w:p w14:paraId="64BE28E5">
      <w:pPr>
        <w:shd w:val="clear" w:color="auto" w:fill="FFFFFF"/>
        <w:snapToGrid w:val="0"/>
        <w:spacing w:line="594" w:lineRule="exact"/>
        <w:ind w:firstLine="640" w:firstLineChars="200"/>
        <w:rPr>
          <w:rFonts w:ascii="方正仿宋_GBK" w:eastAsia="方正仿宋_GBK"/>
          <w:sz w:val="32"/>
          <w:szCs w:val="32"/>
        </w:rPr>
      </w:pPr>
      <w:r>
        <w:rPr>
          <w:rFonts w:hint="eastAsia" w:ascii="Times New Roman" w:hAnsi="Times New Roman" w:eastAsia="方正仿宋_GBK" w:cs="Times New Roman"/>
          <w:sz w:val="32"/>
          <w:szCs w:val="32"/>
          <w:shd w:val="clear" w:color="auto" w:fill="FFFFFF"/>
        </w:rPr>
        <w:t>本单位无下级预算单位。</w:t>
      </w:r>
    </w:p>
    <w:p w14:paraId="12261D9A">
      <w:pPr>
        <w:pStyle w:val="6"/>
        <w:shd w:val="clear" w:color="auto" w:fill="FFFFFF"/>
        <w:spacing w:before="0" w:beforeAutospacing="0" w:after="0" w:afterAutospacing="0" w:line="560" w:lineRule="exact"/>
        <w:ind w:firstLine="640" w:firstLineChars="200"/>
        <w:jc w:val="both"/>
        <w:outlineLvl w:val="0"/>
        <w:rPr>
          <w:rStyle w:val="9"/>
          <w:rFonts w:ascii="方正黑体_GBK" w:eastAsia="方正黑体_GBK"/>
          <w:b w:val="0"/>
        </w:rPr>
      </w:pPr>
      <w:r>
        <w:rPr>
          <w:rStyle w:val="9"/>
          <w:rFonts w:hint="eastAsia" w:ascii="方正黑体_GBK" w:eastAsia="方正黑体_GBK"/>
          <w:b w:val="0"/>
          <w:sz w:val="32"/>
          <w:szCs w:val="32"/>
        </w:rPr>
        <w:t>二、部门决算情况说明</w:t>
      </w:r>
    </w:p>
    <w:p w14:paraId="4CE249EA">
      <w:pPr>
        <w:widowControl w:val="0"/>
        <w:ind w:firstLine="640"/>
        <w:jc w:val="both"/>
        <w:rPr>
          <w:rFonts w:ascii="楷体" w:hAnsi="楷体" w:eastAsia="楷体"/>
          <w:b/>
          <w:sz w:val="32"/>
          <w:szCs w:val="32"/>
        </w:rPr>
      </w:pPr>
      <w:r>
        <w:rPr>
          <w:rFonts w:hint="eastAsia" w:ascii="楷体" w:hAnsi="楷体" w:eastAsia="楷体"/>
          <w:b/>
          <w:sz w:val="32"/>
          <w:szCs w:val="32"/>
        </w:rPr>
        <w:t>（一）收入支出决算总体情况说明</w:t>
      </w:r>
    </w:p>
    <w:p w14:paraId="7BE936B2">
      <w:pPr>
        <w:pStyle w:val="6"/>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1.总体情况</w:t>
      </w:r>
    </w:p>
    <w:p w14:paraId="5DD34A7F">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2020年度收入总计</w:t>
      </w:r>
      <w:r>
        <w:rPr>
          <w:rFonts w:ascii="方正仿宋_GBK" w:eastAsia="方正仿宋_GBK"/>
          <w:sz w:val="32"/>
          <w:szCs w:val="32"/>
        </w:rPr>
        <w:t>5789.85</w:t>
      </w:r>
      <w:r>
        <w:rPr>
          <w:rFonts w:hint="eastAsia" w:ascii="方正仿宋_GBK" w:eastAsia="方正仿宋_GBK"/>
          <w:sz w:val="32"/>
          <w:szCs w:val="32"/>
        </w:rPr>
        <w:t>万元，较</w:t>
      </w:r>
      <w:r>
        <w:rPr>
          <w:rFonts w:ascii="方正仿宋_GBK" w:eastAsia="方正仿宋_GBK"/>
          <w:sz w:val="32"/>
          <w:szCs w:val="32"/>
        </w:rPr>
        <w:t>上</w:t>
      </w:r>
      <w:r>
        <w:rPr>
          <w:rFonts w:hint="eastAsia" w:ascii="方正仿宋_GBK" w:eastAsia="方正仿宋_GBK"/>
          <w:sz w:val="32"/>
          <w:szCs w:val="32"/>
        </w:rPr>
        <w:t>年</w:t>
      </w:r>
      <w:r>
        <w:rPr>
          <w:rFonts w:ascii="方正仿宋_GBK" w:eastAsia="方正仿宋_GBK"/>
          <w:sz w:val="32"/>
          <w:szCs w:val="32"/>
        </w:rPr>
        <w:t>决算数增加</w:t>
      </w:r>
      <w:r>
        <w:rPr>
          <w:rFonts w:hint="eastAsia" w:ascii="方正仿宋_GBK" w:eastAsia="方正仿宋_GBK"/>
          <w:sz w:val="32"/>
          <w:szCs w:val="32"/>
        </w:rPr>
        <w:t>992.98万元</w:t>
      </w:r>
      <w:r>
        <w:rPr>
          <w:rFonts w:ascii="方正仿宋_GBK" w:eastAsia="方正仿宋_GBK"/>
          <w:sz w:val="32"/>
          <w:szCs w:val="32"/>
        </w:rPr>
        <w:t>，增长</w:t>
      </w:r>
      <w:r>
        <w:rPr>
          <w:rFonts w:hint="eastAsia" w:ascii="方正仿宋_GBK" w:eastAsia="方正仿宋_GBK"/>
          <w:sz w:val="32"/>
          <w:szCs w:val="32"/>
        </w:rPr>
        <w:t>20.7</w:t>
      </w:r>
      <w:r>
        <w:rPr>
          <w:rFonts w:ascii="方正仿宋_GBK" w:eastAsia="方正仿宋_GBK"/>
          <w:sz w:val="32"/>
          <w:szCs w:val="32"/>
        </w:rPr>
        <w:t>%；</w:t>
      </w:r>
      <w:r>
        <w:rPr>
          <w:rFonts w:hint="eastAsia" w:ascii="方正仿宋_GBK" w:eastAsia="方正仿宋_GBK"/>
          <w:sz w:val="32"/>
          <w:szCs w:val="32"/>
        </w:rPr>
        <w:t>支出总计</w:t>
      </w:r>
      <w:r>
        <w:rPr>
          <w:rFonts w:ascii="方正仿宋_GBK" w:eastAsia="方正仿宋_GBK"/>
          <w:sz w:val="32"/>
          <w:szCs w:val="32"/>
        </w:rPr>
        <w:t>5789.85</w:t>
      </w:r>
      <w:r>
        <w:rPr>
          <w:rFonts w:hint="eastAsia" w:ascii="方正仿宋_GBK" w:eastAsia="方正仿宋_GBK"/>
          <w:sz w:val="32"/>
          <w:szCs w:val="32"/>
        </w:rPr>
        <w:t>万元，较上年决算数增加</w:t>
      </w:r>
      <w:r>
        <w:rPr>
          <w:rFonts w:ascii="方正仿宋_GBK" w:eastAsia="方正仿宋_GBK"/>
          <w:sz w:val="32"/>
          <w:szCs w:val="32"/>
        </w:rPr>
        <w:t>992.98</w:t>
      </w:r>
      <w:r>
        <w:rPr>
          <w:rFonts w:hint="eastAsia" w:ascii="方正仿宋_GBK" w:eastAsia="方正仿宋_GBK"/>
          <w:sz w:val="32"/>
          <w:szCs w:val="32"/>
        </w:rPr>
        <w:t>万元，增长</w:t>
      </w:r>
      <w:r>
        <w:rPr>
          <w:rFonts w:ascii="方正仿宋_GBK" w:eastAsia="方正仿宋_GBK"/>
          <w:sz w:val="32"/>
          <w:szCs w:val="32"/>
        </w:rPr>
        <w:t>20.7</w:t>
      </w:r>
      <w:r>
        <w:rPr>
          <w:rFonts w:hint="eastAsia" w:ascii="方正仿宋_GBK" w:eastAsia="方正仿宋_GBK"/>
          <w:sz w:val="32"/>
          <w:szCs w:val="32"/>
        </w:rPr>
        <w:t>%，主要原因是年中追加安排星宇养老服务站经费、轻轨保畅缓赌道路整治经费、防汛抢险和灾后重建补助、新冠肺炎疫情防控等专项经费。</w:t>
      </w:r>
    </w:p>
    <w:p w14:paraId="7CC7EEBB">
      <w:pPr>
        <w:pStyle w:val="6"/>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2.收入情况</w:t>
      </w:r>
    </w:p>
    <w:p w14:paraId="0E06AA0E">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2020年度收入合计</w:t>
      </w:r>
      <w:r>
        <w:rPr>
          <w:rFonts w:ascii="方正仿宋_GBK" w:eastAsia="方正仿宋_GBK"/>
          <w:sz w:val="32"/>
          <w:szCs w:val="32"/>
        </w:rPr>
        <w:t>5590.73</w:t>
      </w:r>
      <w:r>
        <w:rPr>
          <w:rFonts w:hint="eastAsia" w:ascii="方正仿宋_GBK" w:eastAsia="方正仿宋_GBK"/>
          <w:sz w:val="32"/>
          <w:szCs w:val="32"/>
        </w:rPr>
        <w:t>万元，较上年决算数增加</w:t>
      </w:r>
      <w:r>
        <w:rPr>
          <w:rFonts w:ascii="方正仿宋_GBK" w:eastAsia="方正仿宋_GBK"/>
          <w:sz w:val="32"/>
          <w:szCs w:val="32"/>
        </w:rPr>
        <w:t>856.49</w:t>
      </w:r>
      <w:r>
        <w:rPr>
          <w:rFonts w:hint="eastAsia" w:ascii="方正仿宋_GBK" w:eastAsia="方正仿宋_GBK"/>
          <w:sz w:val="32"/>
          <w:szCs w:val="32"/>
        </w:rPr>
        <w:t>万元，增长</w:t>
      </w:r>
      <w:r>
        <w:rPr>
          <w:rFonts w:ascii="方正仿宋_GBK" w:eastAsia="方正仿宋_GBK"/>
          <w:sz w:val="32"/>
          <w:szCs w:val="32"/>
        </w:rPr>
        <w:t>18.1</w:t>
      </w:r>
      <w:r>
        <w:rPr>
          <w:rFonts w:hint="eastAsia" w:ascii="方正仿宋_GBK" w:eastAsia="方正仿宋_GBK"/>
          <w:sz w:val="32"/>
          <w:szCs w:val="32"/>
        </w:rPr>
        <w:t>%，主要原因是年中追加安排星宇养老服务站经费、轻轨保畅缓赌道路整治经费、防汛抢险和灾后重建补助、新冠肺炎疫情防控等专项经费。其中：财政拨款收入</w:t>
      </w:r>
      <w:r>
        <w:rPr>
          <w:rFonts w:ascii="方正仿宋_GBK" w:eastAsia="方正仿宋_GBK"/>
          <w:sz w:val="32"/>
          <w:szCs w:val="32"/>
        </w:rPr>
        <w:t>5590.73</w:t>
      </w:r>
      <w:r>
        <w:rPr>
          <w:rFonts w:hint="eastAsia" w:ascii="方正仿宋_GBK" w:eastAsia="方正仿宋_GBK"/>
          <w:sz w:val="32"/>
          <w:szCs w:val="32"/>
        </w:rPr>
        <w:t>万元，占100%。此外，年初结转和结余</w:t>
      </w:r>
      <w:r>
        <w:rPr>
          <w:rFonts w:ascii="方正仿宋_GBK" w:eastAsia="方正仿宋_GBK"/>
          <w:sz w:val="32"/>
          <w:szCs w:val="32"/>
        </w:rPr>
        <w:t>199.12</w:t>
      </w:r>
      <w:r>
        <w:rPr>
          <w:rFonts w:hint="eastAsia" w:ascii="方正仿宋_GBK" w:eastAsia="方正仿宋_GBK"/>
          <w:sz w:val="32"/>
          <w:szCs w:val="32"/>
        </w:rPr>
        <w:t>万元。</w:t>
      </w:r>
    </w:p>
    <w:p w14:paraId="047FDD12">
      <w:pPr>
        <w:pStyle w:val="6"/>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3.支出情况</w:t>
      </w:r>
    </w:p>
    <w:p w14:paraId="74367BE9">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2020年度支出合计</w:t>
      </w:r>
      <w:r>
        <w:rPr>
          <w:rFonts w:ascii="方正仿宋_GBK" w:eastAsia="方正仿宋_GBK"/>
          <w:sz w:val="32"/>
          <w:szCs w:val="32"/>
        </w:rPr>
        <w:t>5789.85</w:t>
      </w:r>
      <w:r>
        <w:rPr>
          <w:rFonts w:hint="eastAsia" w:ascii="方正仿宋_GBK" w:eastAsia="方正仿宋_GBK"/>
          <w:sz w:val="32"/>
          <w:szCs w:val="32"/>
        </w:rPr>
        <w:t>万元，较上年决算数增加</w:t>
      </w:r>
      <w:r>
        <w:rPr>
          <w:rFonts w:ascii="方正仿宋_GBK" w:eastAsia="方正仿宋_GBK"/>
          <w:sz w:val="32"/>
          <w:szCs w:val="32"/>
        </w:rPr>
        <w:t>1391.06</w:t>
      </w:r>
      <w:r>
        <w:rPr>
          <w:rFonts w:hint="eastAsia" w:ascii="方正仿宋_GBK" w:eastAsia="方正仿宋_GBK"/>
          <w:sz w:val="32"/>
          <w:szCs w:val="32"/>
        </w:rPr>
        <w:t>万元，增长</w:t>
      </w:r>
      <w:r>
        <w:rPr>
          <w:rFonts w:ascii="方正仿宋_GBK" w:eastAsia="方正仿宋_GBK"/>
          <w:sz w:val="32"/>
          <w:szCs w:val="32"/>
        </w:rPr>
        <w:t>31.6</w:t>
      </w:r>
      <w:r>
        <w:rPr>
          <w:rFonts w:hint="eastAsia" w:ascii="方正仿宋_GBK" w:eastAsia="方正仿宋_GBK"/>
          <w:sz w:val="32"/>
          <w:szCs w:val="32"/>
        </w:rPr>
        <w:t>%，主要原因是年中追加安排星宇养老服务站经费、轻轨保畅缓赌道路整治经费、防汛抢险和灾后重建补助、新冠肺炎疫情防控、</w:t>
      </w:r>
      <w:r>
        <w:rPr>
          <w:rFonts w:ascii="方正仿宋_GBK" w:eastAsia="方正仿宋_GBK"/>
          <w:sz w:val="32"/>
          <w:szCs w:val="32"/>
        </w:rPr>
        <w:t>垃圾分</w:t>
      </w:r>
      <w:r>
        <w:rPr>
          <w:rFonts w:hint="eastAsia" w:ascii="方正仿宋_GBK" w:eastAsia="方正仿宋_GBK"/>
          <w:sz w:val="32"/>
          <w:szCs w:val="32"/>
        </w:rPr>
        <w:t>类</w:t>
      </w:r>
      <w:r>
        <w:rPr>
          <w:rFonts w:ascii="方正仿宋_GBK" w:eastAsia="方正仿宋_GBK"/>
          <w:sz w:val="32"/>
          <w:szCs w:val="32"/>
        </w:rPr>
        <w:t>、社区建设专项</w:t>
      </w:r>
      <w:r>
        <w:rPr>
          <w:rFonts w:hint="eastAsia" w:ascii="方正仿宋_GBK" w:eastAsia="方正仿宋_GBK"/>
          <w:sz w:val="32"/>
          <w:szCs w:val="32"/>
        </w:rPr>
        <w:t>等专项经费。其中：基本支出</w:t>
      </w:r>
      <w:r>
        <w:rPr>
          <w:rFonts w:ascii="方正仿宋_GBK" w:eastAsia="方正仿宋_GBK"/>
          <w:sz w:val="32"/>
          <w:szCs w:val="32"/>
        </w:rPr>
        <w:t>1297.72</w:t>
      </w:r>
      <w:r>
        <w:rPr>
          <w:rFonts w:hint="eastAsia" w:ascii="方正仿宋_GBK" w:eastAsia="方正仿宋_GBK"/>
          <w:sz w:val="32"/>
          <w:szCs w:val="32"/>
        </w:rPr>
        <w:t>万元，占</w:t>
      </w:r>
      <w:r>
        <w:rPr>
          <w:rFonts w:ascii="方正仿宋_GBK" w:eastAsia="方正仿宋_GBK"/>
          <w:sz w:val="32"/>
          <w:szCs w:val="32"/>
        </w:rPr>
        <w:t>22.4</w:t>
      </w:r>
      <w:r>
        <w:rPr>
          <w:rFonts w:hint="eastAsia" w:ascii="方正仿宋_GBK" w:eastAsia="方正仿宋_GBK"/>
          <w:sz w:val="32"/>
          <w:szCs w:val="32"/>
        </w:rPr>
        <w:t>%；项目支出</w:t>
      </w:r>
      <w:r>
        <w:rPr>
          <w:rFonts w:ascii="方正仿宋_GBK" w:eastAsia="方正仿宋_GBK"/>
          <w:sz w:val="32"/>
          <w:szCs w:val="32"/>
        </w:rPr>
        <w:t>4492.13</w:t>
      </w:r>
      <w:r>
        <w:rPr>
          <w:rFonts w:hint="eastAsia" w:ascii="方正仿宋_GBK" w:eastAsia="方正仿宋_GBK"/>
          <w:sz w:val="32"/>
          <w:szCs w:val="32"/>
        </w:rPr>
        <w:t>万元，占</w:t>
      </w:r>
      <w:r>
        <w:rPr>
          <w:rFonts w:ascii="方正仿宋_GBK" w:eastAsia="方正仿宋_GBK"/>
          <w:sz w:val="32"/>
          <w:szCs w:val="32"/>
        </w:rPr>
        <w:t>77.6</w:t>
      </w:r>
      <w:r>
        <w:rPr>
          <w:rFonts w:hint="eastAsia" w:ascii="方正仿宋_GBK" w:eastAsia="方正仿宋_GBK"/>
          <w:sz w:val="32"/>
          <w:szCs w:val="32"/>
        </w:rPr>
        <w:t>%。</w:t>
      </w:r>
    </w:p>
    <w:p w14:paraId="051FADCE">
      <w:pPr>
        <w:pStyle w:val="6"/>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4.结转结余情况</w:t>
      </w:r>
    </w:p>
    <w:p w14:paraId="4EA73C13">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2020年度年末结转和结余</w:t>
      </w:r>
      <w:r>
        <w:rPr>
          <w:rFonts w:ascii="方正仿宋_GBK" w:eastAsia="方正仿宋_GBK"/>
          <w:sz w:val="32"/>
          <w:szCs w:val="32"/>
        </w:rPr>
        <w:t>0</w:t>
      </w:r>
      <w:r>
        <w:rPr>
          <w:rFonts w:hint="eastAsia" w:ascii="方正仿宋_GBK" w:eastAsia="方正仿宋_GBK"/>
          <w:sz w:val="32"/>
          <w:szCs w:val="32"/>
        </w:rPr>
        <w:t>万元，较上年决算数减少</w:t>
      </w:r>
      <w:r>
        <w:rPr>
          <w:rFonts w:ascii="方正仿宋_GBK" w:eastAsia="方正仿宋_GBK"/>
          <w:sz w:val="32"/>
          <w:szCs w:val="32"/>
        </w:rPr>
        <w:t>398.08</w:t>
      </w:r>
      <w:r>
        <w:rPr>
          <w:rFonts w:hint="eastAsia" w:ascii="方正仿宋_GBK" w:eastAsia="方正仿宋_GBK"/>
          <w:sz w:val="32"/>
          <w:szCs w:val="32"/>
        </w:rPr>
        <w:t>万元，下降</w:t>
      </w:r>
      <w:r>
        <w:rPr>
          <w:rFonts w:ascii="方正仿宋_GBK" w:eastAsia="方正仿宋_GBK"/>
          <w:sz w:val="32"/>
          <w:szCs w:val="32"/>
        </w:rPr>
        <w:t>100.0</w:t>
      </w:r>
      <w:r>
        <w:rPr>
          <w:rFonts w:hint="eastAsia" w:ascii="方正仿宋_GBK" w:eastAsia="方正仿宋_GBK"/>
          <w:sz w:val="32"/>
          <w:szCs w:val="32"/>
        </w:rPr>
        <w:t>%，主要原因是减少</w:t>
      </w:r>
      <w:r>
        <w:rPr>
          <w:rFonts w:ascii="方正仿宋_GBK" w:eastAsia="方正仿宋_GBK"/>
          <w:sz w:val="32"/>
          <w:szCs w:val="32"/>
        </w:rPr>
        <w:t>民政专项</w:t>
      </w:r>
      <w:r>
        <w:rPr>
          <w:rFonts w:hint="eastAsia" w:ascii="方正仿宋_GBK" w:eastAsia="方正仿宋_GBK"/>
          <w:sz w:val="32"/>
          <w:szCs w:val="32"/>
        </w:rPr>
        <w:t>、</w:t>
      </w:r>
      <w:r>
        <w:rPr>
          <w:rFonts w:ascii="方正仿宋_GBK" w:eastAsia="方正仿宋_GBK"/>
          <w:sz w:val="32"/>
          <w:szCs w:val="32"/>
        </w:rPr>
        <w:t>社区人员</w:t>
      </w:r>
      <w:r>
        <w:rPr>
          <w:rFonts w:hint="eastAsia" w:ascii="方正仿宋_GBK" w:eastAsia="方正仿宋_GBK"/>
          <w:sz w:val="32"/>
          <w:szCs w:val="32"/>
        </w:rPr>
        <w:t>、</w:t>
      </w:r>
      <w:r>
        <w:rPr>
          <w:rFonts w:ascii="方正仿宋_GBK" w:eastAsia="方正仿宋_GBK"/>
          <w:sz w:val="32"/>
          <w:szCs w:val="32"/>
        </w:rPr>
        <w:t>市属国有企业退休人员管理</w:t>
      </w:r>
      <w:r>
        <w:rPr>
          <w:rFonts w:hint="eastAsia" w:ascii="方正仿宋_GBK" w:eastAsia="方正仿宋_GBK"/>
          <w:sz w:val="32"/>
          <w:szCs w:val="32"/>
        </w:rPr>
        <w:t>、</w:t>
      </w:r>
      <w:r>
        <w:rPr>
          <w:rFonts w:ascii="方正仿宋_GBK" w:eastAsia="方正仿宋_GBK"/>
          <w:sz w:val="32"/>
          <w:szCs w:val="32"/>
        </w:rPr>
        <w:t>社区建设专项资金</w:t>
      </w:r>
      <w:r>
        <w:rPr>
          <w:rFonts w:hint="eastAsia" w:ascii="方正仿宋_GBK" w:eastAsia="方正仿宋_GBK"/>
          <w:sz w:val="32"/>
          <w:szCs w:val="32"/>
        </w:rPr>
        <w:t>、</w:t>
      </w:r>
      <w:r>
        <w:rPr>
          <w:rFonts w:ascii="方正仿宋_GBK" w:eastAsia="方正仿宋_GBK"/>
          <w:sz w:val="32"/>
          <w:szCs w:val="32"/>
        </w:rPr>
        <w:t>垃圾分类专项</w:t>
      </w:r>
      <w:r>
        <w:rPr>
          <w:rFonts w:hint="eastAsia" w:ascii="方正仿宋_GBK" w:eastAsia="方正仿宋_GBK"/>
          <w:sz w:val="32"/>
          <w:szCs w:val="32"/>
        </w:rPr>
        <w:t>、</w:t>
      </w:r>
      <w:r>
        <w:rPr>
          <w:rFonts w:ascii="方正仿宋_GBK" w:eastAsia="方正仿宋_GBK"/>
          <w:sz w:val="32"/>
          <w:szCs w:val="32"/>
        </w:rPr>
        <w:t>双峰山社区养老服务站建设资金</w:t>
      </w:r>
      <w:r>
        <w:rPr>
          <w:rFonts w:hint="eastAsia" w:ascii="方正仿宋_GBK" w:eastAsia="方正仿宋_GBK"/>
          <w:sz w:val="32"/>
          <w:szCs w:val="32"/>
        </w:rPr>
        <w:t>等专项</w:t>
      </w:r>
      <w:r>
        <w:rPr>
          <w:rFonts w:ascii="方正仿宋_GBK" w:eastAsia="方正仿宋_GBK"/>
          <w:sz w:val="32"/>
          <w:szCs w:val="32"/>
        </w:rPr>
        <w:t>结转经费</w:t>
      </w:r>
      <w:r>
        <w:rPr>
          <w:rFonts w:hint="eastAsia" w:ascii="方正仿宋_GBK" w:eastAsia="方正仿宋_GBK"/>
          <w:sz w:val="32"/>
          <w:szCs w:val="32"/>
        </w:rPr>
        <w:t>。</w:t>
      </w:r>
    </w:p>
    <w:p w14:paraId="3DEA045C">
      <w:pPr>
        <w:pStyle w:val="6"/>
        <w:shd w:val="clear" w:color="auto" w:fill="FFFFFF"/>
        <w:spacing w:before="0" w:beforeAutospacing="0" w:after="0" w:afterAutospacing="0" w:line="560" w:lineRule="exact"/>
        <w:ind w:firstLine="643" w:firstLineChars="200"/>
        <w:jc w:val="both"/>
        <w:outlineLvl w:val="0"/>
        <w:rPr>
          <w:rStyle w:val="9"/>
          <w:rFonts w:ascii="楷体" w:hAnsi="楷体" w:eastAsia="楷体"/>
        </w:rPr>
      </w:pPr>
      <w:r>
        <w:rPr>
          <w:rStyle w:val="9"/>
          <w:rFonts w:hint="eastAsia" w:ascii="楷体" w:hAnsi="楷体" w:eastAsia="楷体"/>
          <w:sz w:val="32"/>
          <w:szCs w:val="32"/>
        </w:rPr>
        <w:t>（二）财政拨款收入支出决算总体情况说明</w:t>
      </w:r>
    </w:p>
    <w:p w14:paraId="55B2348E">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bCs/>
          <w:sz w:val="32"/>
          <w:szCs w:val="32"/>
        </w:rPr>
        <w:t>2020年度财政拨款收入总计</w:t>
      </w:r>
      <w:r>
        <w:rPr>
          <w:rFonts w:ascii="方正仿宋_GBK" w:eastAsia="方正仿宋_GBK"/>
          <w:bCs/>
          <w:sz w:val="32"/>
          <w:szCs w:val="32"/>
        </w:rPr>
        <w:t>5789.85</w:t>
      </w:r>
      <w:r>
        <w:rPr>
          <w:rFonts w:hint="eastAsia" w:ascii="方正仿宋_GBK" w:eastAsia="方正仿宋_GBK"/>
          <w:bCs/>
          <w:sz w:val="32"/>
          <w:szCs w:val="32"/>
        </w:rPr>
        <w:t>万元。与2019年相比，增加992.98万元</w:t>
      </w:r>
      <w:r>
        <w:rPr>
          <w:rFonts w:ascii="方正仿宋_GBK" w:eastAsia="方正仿宋_GBK"/>
          <w:bCs/>
          <w:sz w:val="32"/>
          <w:szCs w:val="32"/>
        </w:rPr>
        <w:t>，增长</w:t>
      </w:r>
      <w:r>
        <w:rPr>
          <w:rFonts w:hint="eastAsia" w:ascii="方正仿宋_GBK" w:eastAsia="方正仿宋_GBK"/>
          <w:bCs/>
          <w:sz w:val="32"/>
          <w:szCs w:val="32"/>
        </w:rPr>
        <w:t>20.7</w:t>
      </w:r>
      <w:r>
        <w:rPr>
          <w:rFonts w:ascii="方正仿宋_GBK" w:eastAsia="方正仿宋_GBK"/>
          <w:bCs/>
          <w:sz w:val="32"/>
          <w:szCs w:val="32"/>
        </w:rPr>
        <w:t>%；</w:t>
      </w:r>
      <w:r>
        <w:rPr>
          <w:rFonts w:hint="eastAsia" w:ascii="方正仿宋_GBK" w:eastAsia="方正仿宋_GBK"/>
          <w:bCs/>
          <w:sz w:val="32"/>
          <w:szCs w:val="32"/>
        </w:rPr>
        <w:t>财政拨款支出总计5789.85万元</w:t>
      </w:r>
      <w:r>
        <w:rPr>
          <w:rFonts w:ascii="方正仿宋_GBK" w:eastAsia="方正仿宋_GBK"/>
          <w:bCs/>
          <w:sz w:val="32"/>
          <w:szCs w:val="32"/>
        </w:rPr>
        <w:t>，</w:t>
      </w:r>
      <w:r>
        <w:rPr>
          <w:rFonts w:hint="eastAsia" w:ascii="方正仿宋_GBK" w:eastAsia="方正仿宋_GBK"/>
          <w:sz w:val="32"/>
          <w:szCs w:val="32"/>
        </w:rPr>
        <w:t>与2019年</w:t>
      </w:r>
      <w:r>
        <w:rPr>
          <w:rFonts w:ascii="方正仿宋_GBK" w:eastAsia="方正仿宋_GBK"/>
          <w:sz w:val="32"/>
          <w:szCs w:val="32"/>
        </w:rPr>
        <w:t>相比，</w:t>
      </w:r>
      <w:r>
        <w:rPr>
          <w:rFonts w:hint="eastAsia" w:ascii="方正仿宋_GBK" w:eastAsia="方正仿宋_GBK"/>
          <w:sz w:val="32"/>
          <w:szCs w:val="32"/>
        </w:rPr>
        <w:t>增加</w:t>
      </w:r>
      <w:r>
        <w:rPr>
          <w:rFonts w:ascii="方正仿宋_GBK" w:eastAsia="方正仿宋_GBK"/>
          <w:sz w:val="32"/>
          <w:szCs w:val="32"/>
        </w:rPr>
        <w:t>992.98</w:t>
      </w:r>
      <w:r>
        <w:rPr>
          <w:rFonts w:hint="eastAsia" w:ascii="方正仿宋_GBK" w:eastAsia="方正仿宋_GBK"/>
          <w:sz w:val="32"/>
          <w:szCs w:val="32"/>
        </w:rPr>
        <w:t xml:space="preserve">万元，增长 </w:t>
      </w:r>
      <w:r>
        <w:rPr>
          <w:rFonts w:ascii="方正仿宋_GBK" w:eastAsia="方正仿宋_GBK"/>
          <w:sz w:val="32"/>
          <w:szCs w:val="32"/>
        </w:rPr>
        <w:t>20.7</w:t>
      </w:r>
      <w:r>
        <w:rPr>
          <w:rFonts w:hint="eastAsia" w:ascii="方正仿宋_GBK" w:eastAsia="方正仿宋_GBK"/>
          <w:sz w:val="32"/>
          <w:szCs w:val="32"/>
        </w:rPr>
        <w:t>%。主要原因是年中追加安排星宇养老服务站经费、轻轨保畅缓赌道路整治经费、防汛抢险和灾后重建补助、新冠肺炎疫情防控等专项经费。</w:t>
      </w:r>
    </w:p>
    <w:p w14:paraId="7345ED9A">
      <w:pPr>
        <w:pStyle w:val="6"/>
        <w:shd w:val="clear" w:color="auto" w:fill="FFFFFF"/>
        <w:spacing w:before="0" w:beforeAutospacing="0" w:after="0" w:afterAutospacing="0" w:line="560" w:lineRule="exact"/>
        <w:ind w:firstLine="964" w:firstLineChars="300"/>
        <w:jc w:val="both"/>
        <w:outlineLvl w:val="0"/>
        <w:rPr>
          <w:rStyle w:val="9"/>
          <w:rFonts w:ascii="楷体" w:hAnsi="楷体" w:eastAsia="楷体"/>
          <w:sz w:val="32"/>
          <w:szCs w:val="32"/>
        </w:rPr>
      </w:pPr>
      <w:r>
        <w:rPr>
          <w:rStyle w:val="9"/>
          <w:rFonts w:hint="eastAsia" w:ascii="楷体" w:hAnsi="楷体" w:eastAsia="楷体"/>
          <w:sz w:val="32"/>
          <w:szCs w:val="32"/>
        </w:rPr>
        <w:t>（三）一般公共预算财政拨款支出决算情况说明</w:t>
      </w:r>
    </w:p>
    <w:p w14:paraId="7872354A">
      <w:pPr>
        <w:pStyle w:val="6"/>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1.收入情况</w:t>
      </w:r>
    </w:p>
    <w:p w14:paraId="36F903FA">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2020年度一般公共预算财政拨款收入</w:t>
      </w:r>
      <w:r>
        <w:rPr>
          <w:rFonts w:ascii="方正仿宋_GBK" w:eastAsia="方正仿宋_GBK"/>
          <w:sz w:val="32"/>
          <w:szCs w:val="32"/>
        </w:rPr>
        <w:t>5212.85</w:t>
      </w:r>
      <w:r>
        <w:rPr>
          <w:rFonts w:hint="eastAsia" w:ascii="方正仿宋_GBK" w:eastAsia="方正仿宋_GBK"/>
          <w:sz w:val="32"/>
          <w:szCs w:val="32"/>
        </w:rPr>
        <w:t>万元，较上年决算数增加</w:t>
      </w:r>
      <w:r>
        <w:rPr>
          <w:rFonts w:ascii="方正仿宋_GBK" w:eastAsia="方正仿宋_GBK"/>
          <w:sz w:val="32"/>
          <w:szCs w:val="32"/>
        </w:rPr>
        <w:t>538.18</w:t>
      </w:r>
      <w:r>
        <w:rPr>
          <w:rFonts w:hint="eastAsia" w:ascii="方正仿宋_GBK" w:eastAsia="方正仿宋_GBK"/>
          <w:sz w:val="32"/>
          <w:szCs w:val="32"/>
        </w:rPr>
        <w:t>万元，增长</w:t>
      </w:r>
      <w:r>
        <w:rPr>
          <w:rFonts w:ascii="方正仿宋_GBK" w:eastAsia="方正仿宋_GBK"/>
          <w:sz w:val="32"/>
          <w:szCs w:val="32"/>
        </w:rPr>
        <w:t>11.5</w:t>
      </w:r>
      <w:r>
        <w:rPr>
          <w:rFonts w:hint="eastAsia" w:ascii="方正仿宋_GBK" w:eastAsia="方正仿宋_GBK"/>
          <w:sz w:val="32"/>
          <w:szCs w:val="32"/>
        </w:rPr>
        <w:t>%。主要原因是年中追加公共事务专项经费</w:t>
      </w:r>
      <w:r>
        <w:rPr>
          <w:rFonts w:ascii="方正仿宋_GBK" w:eastAsia="方正仿宋_GBK"/>
          <w:sz w:val="32"/>
          <w:szCs w:val="32"/>
        </w:rPr>
        <w:t>307万元，轻轨保畅缓</w:t>
      </w:r>
      <w:r>
        <w:rPr>
          <w:rFonts w:hint="eastAsia" w:ascii="方正仿宋_GBK" w:eastAsia="方正仿宋_GBK"/>
          <w:sz w:val="32"/>
          <w:szCs w:val="32"/>
        </w:rPr>
        <w:t>堵</w:t>
      </w:r>
      <w:r>
        <w:rPr>
          <w:rFonts w:ascii="方正仿宋_GBK" w:eastAsia="方正仿宋_GBK"/>
          <w:sz w:val="32"/>
          <w:szCs w:val="32"/>
        </w:rPr>
        <w:t>道路整治经费177万元，防汛抢险和灾后重建补助资金50万元，民政4.18万元</w:t>
      </w:r>
      <w:r>
        <w:rPr>
          <w:rFonts w:hint="eastAsia" w:ascii="方正仿宋_GBK" w:eastAsia="方正仿宋_GBK"/>
          <w:sz w:val="32"/>
          <w:szCs w:val="32"/>
        </w:rPr>
        <w:t>等专项</w:t>
      </w:r>
      <w:r>
        <w:rPr>
          <w:rFonts w:ascii="方正仿宋_GBK" w:eastAsia="方正仿宋_GBK"/>
          <w:sz w:val="32"/>
          <w:szCs w:val="32"/>
        </w:rPr>
        <w:t>经费</w:t>
      </w:r>
      <w:r>
        <w:rPr>
          <w:rFonts w:hint="eastAsia" w:ascii="方正仿宋_GBK" w:eastAsia="方正仿宋_GBK"/>
          <w:sz w:val="32"/>
          <w:szCs w:val="32"/>
        </w:rPr>
        <w:t>。</w:t>
      </w:r>
    </w:p>
    <w:p w14:paraId="3887EF8B">
      <w:pPr>
        <w:pStyle w:val="6"/>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2.支出情况</w:t>
      </w:r>
    </w:p>
    <w:p w14:paraId="202BF77B">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2020年度一般公共预算财政拨款支出</w:t>
      </w:r>
      <w:r>
        <w:rPr>
          <w:rFonts w:ascii="方正仿宋_GBK" w:eastAsia="方正仿宋_GBK"/>
          <w:sz w:val="32"/>
          <w:szCs w:val="32"/>
        </w:rPr>
        <w:t>5391.97</w:t>
      </w:r>
      <w:r>
        <w:rPr>
          <w:rFonts w:hint="eastAsia" w:ascii="方正仿宋_GBK" w:eastAsia="方正仿宋_GBK"/>
          <w:sz w:val="32"/>
          <w:szCs w:val="32"/>
        </w:rPr>
        <w:t>万元，较上年决算数增加</w:t>
      </w:r>
      <w:r>
        <w:rPr>
          <w:rFonts w:ascii="方正仿宋_GBK" w:eastAsia="方正仿宋_GBK"/>
          <w:sz w:val="32"/>
          <w:szCs w:val="32"/>
        </w:rPr>
        <w:t>1037.68</w:t>
      </w:r>
      <w:r>
        <w:rPr>
          <w:rFonts w:hint="eastAsia" w:ascii="方正仿宋_GBK" w:eastAsia="方正仿宋_GBK"/>
          <w:sz w:val="32"/>
          <w:szCs w:val="32"/>
        </w:rPr>
        <w:t>万元，增长</w:t>
      </w:r>
      <w:r>
        <w:rPr>
          <w:rFonts w:ascii="方正仿宋_GBK" w:eastAsia="方正仿宋_GBK"/>
          <w:sz w:val="32"/>
          <w:szCs w:val="32"/>
        </w:rPr>
        <w:t>23.8</w:t>
      </w:r>
      <w:r>
        <w:rPr>
          <w:rFonts w:hint="eastAsia" w:ascii="方正仿宋_GBK" w:eastAsia="方正仿宋_GBK"/>
          <w:sz w:val="32"/>
          <w:szCs w:val="32"/>
        </w:rPr>
        <w:t>%。主要原因是年中追加公共事物专项经费307万元，轻轨保畅缓堵经费177万元，防汛抢险资金50万元，垃圾分类专项经费158.31万元，社区建设专项经费104.16万元，民政政策性</w:t>
      </w:r>
      <w:r>
        <w:rPr>
          <w:rFonts w:ascii="方正仿宋_GBK" w:eastAsia="方正仿宋_GBK"/>
          <w:sz w:val="32"/>
          <w:szCs w:val="32"/>
        </w:rPr>
        <w:t>资金173.68万元</w:t>
      </w:r>
      <w:r>
        <w:rPr>
          <w:rFonts w:hint="eastAsia" w:ascii="方正仿宋_GBK" w:eastAsia="方正仿宋_GBK"/>
          <w:sz w:val="32"/>
          <w:szCs w:val="32"/>
        </w:rPr>
        <w:t>等专项</w:t>
      </w:r>
      <w:r>
        <w:rPr>
          <w:rFonts w:ascii="方正仿宋_GBK" w:eastAsia="方正仿宋_GBK"/>
          <w:sz w:val="32"/>
          <w:szCs w:val="32"/>
        </w:rPr>
        <w:t>经费</w:t>
      </w:r>
      <w:r>
        <w:rPr>
          <w:rFonts w:hint="eastAsia" w:ascii="方正仿宋_GBK" w:eastAsia="方正仿宋_GBK"/>
          <w:sz w:val="32"/>
          <w:szCs w:val="32"/>
        </w:rPr>
        <w:t>。</w:t>
      </w:r>
    </w:p>
    <w:p w14:paraId="76FC4405">
      <w:pPr>
        <w:pStyle w:val="6"/>
        <w:widowControl w:val="0"/>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Fonts w:hint="eastAsia" w:ascii="楷体" w:hAnsi="楷体" w:eastAsia="楷体"/>
          <w:b/>
          <w:sz w:val="32"/>
          <w:szCs w:val="32"/>
        </w:rPr>
        <w:t>3.结转结余情况</w:t>
      </w:r>
    </w:p>
    <w:p w14:paraId="431DDE2D">
      <w:pPr>
        <w:pStyle w:val="6"/>
        <w:widowControl w:val="0"/>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2020年度年末一般公共预算财政拨款结转和结余</w:t>
      </w:r>
      <w:r>
        <w:rPr>
          <w:rFonts w:ascii="方正仿宋_GBK" w:eastAsia="方正仿宋_GBK"/>
          <w:sz w:val="32"/>
          <w:szCs w:val="32"/>
        </w:rPr>
        <w:t>0</w:t>
      </w:r>
      <w:r>
        <w:rPr>
          <w:rFonts w:hint="eastAsia" w:ascii="方正仿宋_GBK" w:eastAsia="方正仿宋_GBK"/>
          <w:sz w:val="32"/>
          <w:szCs w:val="32"/>
        </w:rPr>
        <w:t xml:space="preserve">万元，较上年决算数减少 </w:t>
      </w:r>
      <w:r>
        <w:rPr>
          <w:rFonts w:ascii="方正仿宋_GBK" w:eastAsia="方正仿宋_GBK"/>
          <w:sz w:val="32"/>
          <w:szCs w:val="32"/>
        </w:rPr>
        <w:t>375.33</w:t>
      </w:r>
      <w:r>
        <w:rPr>
          <w:rFonts w:hint="eastAsia" w:ascii="方正仿宋_GBK" w:eastAsia="方正仿宋_GBK"/>
          <w:sz w:val="32"/>
          <w:szCs w:val="32"/>
        </w:rPr>
        <w:t xml:space="preserve">万元，下降 </w:t>
      </w:r>
      <w:r>
        <w:rPr>
          <w:rFonts w:ascii="方正仿宋_GBK" w:eastAsia="方正仿宋_GBK"/>
          <w:sz w:val="32"/>
          <w:szCs w:val="32"/>
        </w:rPr>
        <w:t>100</w:t>
      </w:r>
      <w:r>
        <w:rPr>
          <w:rFonts w:hint="eastAsia" w:ascii="方正仿宋_GBK" w:eastAsia="方正仿宋_GBK"/>
          <w:sz w:val="32"/>
          <w:szCs w:val="32"/>
        </w:rPr>
        <w:t>%，主要原因是减少1、民政专项98.96万元；2、社区人员50万元；3、市属国有企业退休人员管理15.75万元；4、社区建设专项资金54.06万元；5、垃圾分类专项资金58.51万元；6、餐饮油烟专项治理0.7万元等上年结转资金。</w:t>
      </w:r>
    </w:p>
    <w:p w14:paraId="0946FC86">
      <w:pPr>
        <w:pStyle w:val="6"/>
        <w:widowControl w:val="0"/>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4.比较情况</w:t>
      </w:r>
    </w:p>
    <w:p w14:paraId="0F688EB7">
      <w:pPr>
        <w:pStyle w:val="6"/>
        <w:widowControl w:val="0"/>
        <w:shd w:val="clear" w:color="auto" w:fill="FFFFFF"/>
        <w:spacing w:before="0" w:beforeAutospacing="0" w:after="0" w:afterAutospacing="0" w:line="560" w:lineRule="exact"/>
        <w:ind w:firstLine="640" w:firstLineChars="200"/>
        <w:jc w:val="both"/>
        <w:rPr>
          <w:rFonts w:ascii="方正仿宋_GBK" w:eastAsia="方正仿宋_GBK"/>
          <w:color w:val="FF0000"/>
          <w:sz w:val="32"/>
          <w:szCs w:val="32"/>
        </w:rPr>
      </w:pPr>
      <w:r>
        <w:rPr>
          <w:rFonts w:hint="eastAsia" w:ascii="方正仿宋_GBK" w:eastAsia="方正仿宋_GBK"/>
          <w:sz w:val="32"/>
          <w:szCs w:val="32"/>
        </w:rPr>
        <w:t>本部门2020年度一般公共预算财政拨款支出主要用于以下几个方面：</w:t>
      </w:r>
    </w:p>
    <w:p w14:paraId="0810BDA2">
      <w:pPr>
        <w:pStyle w:val="6"/>
        <w:widowControl w:val="0"/>
        <w:shd w:val="clear" w:color="auto" w:fill="FFFFFF"/>
        <w:spacing w:before="0" w:beforeAutospacing="0" w:after="0" w:afterAutospacing="0" w:line="560" w:lineRule="exact"/>
        <w:ind w:firstLine="640" w:firstLineChars="200"/>
        <w:jc w:val="both"/>
        <w:rPr>
          <w:rFonts w:ascii="方正仿宋_GBK" w:eastAsia="方正仿宋_GBK"/>
          <w:color w:val="FF0000"/>
          <w:sz w:val="32"/>
          <w:szCs w:val="32"/>
        </w:rPr>
      </w:pPr>
      <w:r>
        <w:rPr>
          <w:rFonts w:hint="eastAsia" w:ascii="方正仿宋_GBK" w:eastAsia="方正仿宋_GBK"/>
          <w:sz w:val="32"/>
          <w:szCs w:val="32"/>
        </w:rPr>
        <w:t>（1）一般公共服务支出</w:t>
      </w:r>
      <w:r>
        <w:rPr>
          <w:rFonts w:ascii="方正仿宋_GBK" w:eastAsia="方正仿宋_GBK"/>
          <w:sz w:val="32"/>
          <w:szCs w:val="32"/>
        </w:rPr>
        <w:t>2189.8</w:t>
      </w:r>
      <w:r>
        <w:rPr>
          <w:rFonts w:hint="eastAsia" w:ascii="方正仿宋_GBK" w:eastAsia="方正仿宋_GBK"/>
          <w:sz w:val="32"/>
          <w:szCs w:val="32"/>
        </w:rPr>
        <w:t>万元，占</w:t>
      </w:r>
      <w:r>
        <w:rPr>
          <w:rFonts w:ascii="方正仿宋_GBK" w:eastAsia="方正仿宋_GBK"/>
          <w:sz w:val="32"/>
          <w:szCs w:val="32"/>
        </w:rPr>
        <w:t>40.6</w:t>
      </w:r>
      <w:r>
        <w:rPr>
          <w:rFonts w:hint="eastAsia" w:ascii="方正仿宋_GBK" w:eastAsia="方正仿宋_GBK"/>
          <w:sz w:val="32"/>
          <w:szCs w:val="32"/>
        </w:rPr>
        <w:t>%，较年初预算数增加</w:t>
      </w:r>
      <w:r>
        <w:rPr>
          <w:rFonts w:ascii="方正仿宋_GBK" w:eastAsia="方正仿宋_GBK"/>
          <w:sz w:val="32"/>
          <w:szCs w:val="32"/>
        </w:rPr>
        <w:t>520.52</w:t>
      </w:r>
      <w:r>
        <w:rPr>
          <w:rFonts w:hint="eastAsia" w:ascii="方正仿宋_GBK" w:eastAsia="方正仿宋_GBK"/>
          <w:sz w:val="32"/>
          <w:szCs w:val="32"/>
        </w:rPr>
        <w:t>万元，增长</w:t>
      </w:r>
      <w:r>
        <w:rPr>
          <w:rFonts w:ascii="方正仿宋_GBK" w:eastAsia="方正仿宋_GBK"/>
          <w:sz w:val="32"/>
          <w:szCs w:val="32"/>
        </w:rPr>
        <w:t>31.2</w:t>
      </w:r>
      <w:r>
        <w:rPr>
          <w:rFonts w:hint="eastAsia" w:ascii="方正仿宋_GBK" w:eastAsia="方正仿宋_GBK"/>
          <w:sz w:val="32"/>
          <w:szCs w:val="32"/>
        </w:rPr>
        <w:t>%，主要原因是年中追加下达人大代表活动费及代表之家建设管理经费、村居工作经费、老党员及困难元旦春节七一慰问经费、信访重点人员稳控经费等。</w:t>
      </w:r>
    </w:p>
    <w:p w14:paraId="0DDCE5F3">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（2）科学技术支出1万元，占</w:t>
      </w:r>
      <w:r>
        <w:rPr>
          <w:rFonts w:ascii="方正仿宋_GBK" w:eastAsia="方正仿宋_GBK"/>
          <w:sz w:val="32"/>
          <w:szCs w:val="32"/>
        </w:rPr>
        <w:t>0.0</w:t>
      </w:r>
      <w:r>
        <w:rPr>
          <w:rFonts w:hint="eastAsia" w:ascii="方正仿宋_GBK" w:eastAsia="方正仿宋_GBK"/>
          <w:sz w:val="32"/>
          <w:szCs w:val="32"/>
        </w:rPr>
        <w:t>%，较年初预算数增加1万元，增长100</w:t>
      </w:r>
      <w:r>
        <w:rPr>
          <w:rFonts w:ascii="方正仿宋_GBK" w:eastAsia="方正仿宋_GBK"/>
          <w:sz w:val="32"/>
          <w:szCs w:val="32"/>
        </w:rPr>
        <w:t>%，</w:t>
      </w:r>
      <w:r>
        <w:rPr>
          <w:rFonts w:hint="eastAsia" w:ascii="方正仿宋_GBK" w:eastAsia="方正仿宋_GBK"/>
          <w:sz w:val="32"/>
          <w:szCs w:val="32"/>
        </w:rPr>
        <w:t>主要原因是年中追加下达上海城社区科普大学等经费。</w:t>
      </w:r>
    </w:p>
    <w:p w14:paraId="4A4E2E59">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（3）文化旅游体育与传媒支出</w:t>
      </w:r>
      <w:r>
        <w:rPr>
          <w:rFonts w:ascii="方正仿宋_GBK" w:eastAsia="方正仿宋_GBK"/>
          <w:sz w:val="32"/>
          <w:szCs w:val="32"/>
        </w:rPr>
        <w:t>53.61</w:t>
      </w:r>
      <w:r>
        <w:rPr>
          <w:rFonts w:hint="eastAsia" w:ascii="方正仿宋_GBK" w:eastAsia="方正仿宋_GBK"/>
          <w:sz w:val="32"/>
          <w:szCs w:val="32"/>
        </w:rPr>
        <w:t>万元，占</w:t>
      </w:r>
      <w:r>
        <w:rPr>
          <w:rFonts w:ascii="方正仿宋_GBK" w:eastAsia="方正仿宋_GBK"/>
          <w:sz w:val="32"/>
          <w:szCs w:val="32"/>
        </w:rPr>
        <w:t>1.0</w:t>
      </w:r>
      <w:r>
        <w:rPr>
          <w:rFonts w:hint="eastAsia" w:ascii="方正仿宋_GBK" w:eastAsia="方正仿宋_GBK"/>
          <w:sz w:val="32"/>
          <w:szCs w:val="32"/>
        </w:rPr>
        <w:t>%，较年初预算数增加</w:t>
      </w:r>
      <w:r>
        <w:rPr>
          <w:rFonts w:ascii="方正仿宋_GBK" w:eastAsia="方正仿宋_GBK"/>
          <w:sz w:val="32"/>
          <w:szCs w:val="32"/>
        </w:rPr>
        <w:t>15.2</w:t>
      </w:r>
      <w:r>
        <w:rPr>
          <w:rFonts w:hint="eastAsia" w:ascii="方正仿宋_GBK" w:eastAsia="方正仿宋_GBK"/>
          <w:sz w:val="32"/>
          <w:szCs w:val="32"/>
        </w:rPr>
        <w:t>万元，增长</w:t>
      </w:r>
      <w:r>
        <w:rPr>
          <w:rFonts w:ascii="方正仿宋_GBK" w:eastAsia="方正仿宋_GBK"/>
          <w:sz w:val="32"/>
          <w:szCs w:val="32"/>
        </w:rPr>
        <w:t>39.6</w:t>
      </w:r>
      <w:r>
        <w:rPr>
          <w:rFonts w:hint="eastAsia" w:ascii="方正仿宋_GBK" w:eastAsia="方正仿宋_GBK"/>
          <w:sz w:val="32"/>
          <w:szCs w:val="32"/>
        </w:rPr>
        <w:t>%，主要原因是年中追加下达创建国家公共文化服务体系示范区示范点建设资金、公共文化免费开放补助经费、公共服务文化服务体系建设绩效奖励资金等。</w:t>
      </w:r>
    </w:p>
    <w:p w14:paraId="33167E3D">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（4）社会保障与就业支出</w:t>
      </w:r>
      <w:r>
        <w:rPr>
          <w:rFonts w:ascii="方正仿宋_GBK" w:eastAsia="方正仿宋_GBK"/>
          <w:sz w:val="32"/>
          <w:szCs w:val="32"/>
        </w:rPr>
        <w:t>1333.17</w:t>
      </w:r>
      <w:r>
        <w:rPr>
          <w:rFonts w:hint="eastAsia" w:ascii="方正仿宋_GBK" w:eastAsia="方正仿宋_GBK"/>
          <w:sz w:val="32"/>
          <w:szCs w:val="32"/>
        </w:rPr>
        <w:t>万元，占</w:t>
      </w:r>
      <w:r>
        <w:rPr>
          <w:rFonts w:ascii="方正仿宋_GBK" w:eastAsia="方正仿宋_GBK"/>
          <w:sz w:val="32"/>
          <w:szCs w:val="32"/>
        </w:rPr>
        <w:t>24.7</w:t>
      </w:r>
      <w:r>
        <w:rPr>
          <w:rFonts w:hint="eastAsia" w:ascii="方正仿宋_GBK" w:eastAsia="方正仿宋_GBK"/>
          <w:sz w:val="32"/>
          <w:szCs w:val="32"/>
        </w:rPr>
        <w:t>%，较年初预算数增加</w:t>
      </w:r>
      <w:r>
        <w:rPr>
          <w:rFonts w:ascii="方正仿宋_GBK" w:eastAsia="方正仿宋_GBK"/>
          <w:sz w:val="32"/>
          <w:szCs w:val="32"/>
        </w:rPr>
        <w:t>53.08</w:t>
      </w:r>
      <w:r>
        <w:rPr>
          <w:rFonts w:hint="eastAsia" w:ascii="方正仿宋_GBK" w:eastAsia="方正仿宋_GBK"/>
          <w:sz w:val="32"/>
          <w:szCs w:val="32"/>
        </w:rPr>
        <w:t>万元，增长</w:t>
      </w:r>
      <w:r>
        <w:rPr>
          <w:rFonts w:ascii="方正仿宋_GBK" w:eastAsia="方正仿宋_GBK"/>
          <w:sz w:val="32"/>
          <w:szCs w:val="32"/>
        </w:rPr>
        <w:t>4.1</w:t>
      </w:r>
      <w:r>
        <w:rPr>
          <w:rFonts w:hint="eastAsia" w:ascii="方正仿宋_GBK" w:eastAsia="方正仿宋_GBK"/>
          <w:sz w:val="32"/>
          <w:szCs w:val="32"/>
        </w:rPr>
        <w:t>%，主要原因是年中追加下达基层社区建设资金、居务监督委员会成员补贴、民政以奖代补资金、民政政策性资金等。</w:t>
      </w:r>
    </w:p>
    <w:p w14:paraId="1D935970">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（5）卫生健康支出</w:t>
      </w:r>
      <w:r>
        <w:rPr>
          <w:rFonts w:ascii="方正仿宋_GBK" w:eastAsia="方正仿宋_GBK"/>
          <w:sz w:val="32"/>
          <w:szCs w:val="32"/>
        </w:rPr>
        <w:t>93.73</w:t>
      </w:r>
      <w:r>
        <w:rPr>
          <w:rFonts w:hint="eastAsia" w:ascii="方正仿宋_GBK" w:eastAsia="方正仿宋_GBK"/>
          <w:sz w:val="32"/>
          <w:szCs w:val="32"/>
        </w:rPr>
        <w:t>万元，占</w:t>
      </w:r>
      <w:r>
        <w:rPr>
          <w:rFonts w:ascii="方正仿宋_GBK" w:eastAsia="方正仿宋_GBK"/>
          <w:sz w:val="32"/>
          <w:szCs w:val="32"/>
        </w:rPr>
        <w:t>1.7</w:t>
      </w:r>
      <w:r>
        <w:rPr>
          <w:rFonts w:hint="eastAsia" w:ascii="方正仿宋_GBK" w:eastAsia="方正仿宋_GBK"/>
          <w:sz w:val="32"/>
          <w:szCs w:val="32"/>
        </w:rPr>
        <w:t>%，较年初预算数增加</w:t>
      </w:r>
      <w:r>
        <w:rPr>
          <w:rFonts w:ascii="方正仿宋_GBK" w:eastAsia="方正仿宋_GBK"/>
          <w:sz w:val="32"/>
          <w:szCs w:val="32"/>
        </w:rPr>
        <w:t>27.45</w:t>
      </w:r>
      <w:r>
        <w:rPr>
          <w:rFonts w:hint="eastAsia" w:ascii="方正仿宋_GBK" w:eastAsia="方正仿宋_GBK"/>
          <w:sz w:val="32"/>
          <w:szCs w:val="32"/>
        </w:rPr>
        <w:t>万元，增长</w:t>
      </w:r>
      <w:r>
        <w:rPr>
          <w:rFonts w:ascii="方正仿宋_GBK" w:eastAsia="方正仿宋_GBK"/>
          <w:sz w:val="32"/>
          <w:szCs w:val="32"/>
        </w:rPr>
        <w:t>41.4</w:t>
      </w:r>
      <w:r>
        <w:rPr>
          <w:rFonts w:hint="eastAsia" w:ascii="方正仿宋_GBK" w:eastAsia="方正仿宋_GBK"/>
          <w:sz w:val="32"/>
          <w:szCs w:val="32"/>
        </w:rPr>
        <w:t>%，主要原因是年中追加下达新型冠状病毒感染的肺炎疫情防控中央补助资金、军人事务政策性资金等。</w:t>
      </w:r>
    </w:p>
    <w:p w14:paraId="73CEF872">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6</w:t>
      </w:r>
      <w:r>
        <w:rPr>
          <w:rFonts w:hint="eastAsia" w:ascii="方正仿宋_GBK" w:eastAsia="方正仿宋_GBK"/>
          <w:sz w:val="32"/>
          <w:szCs w:val="32"/>
        </w:rPr>
        <w:t>）节能</w:t>
      </w:r>
      <w:r>
        <w:rPr>
          <w:rFonts w:ascii="方正仿宋_GBK" w:eastAsia="方正仿宋_GBK"/>
          <w:sz w:val="32"/>
          <w:szCs w:val="32"/>
        </w:rPr>
        <w:t>环保支出</w:t>
      </w:r>
      <w:r>
        <w:rPr>
          <w:rFonts w:hint="eastAsia" w:ascii="方正仿宋_GBK" w:eastAsia="方正仿宋_GBK"/>
          <w:sz w:val="32"/>
          <w:szCs w:val="32"/>
        </w:rPr>
        <w:t>59.21万元</w:t>
      </w:r>
      <w:r>
        <w:rPr>
          <w:rFonts w:ascii="方正仿宋_GBK" w:eastAsia="方正仿宋_GBK"/>
          <w:sz w:val="32"/>
          <w:szCs w:val="32"/>
        </w:rPr>
        <w:t>，</w:t>
      </w:r>
      <w:r>
        <w:rPr>
          <w:rFonts w:hint="eastAsia" w:ascii="方正仿宋_GBK" w:eastAsia="方正仿宋_GBK"/>
          <w:sz w:val="32"/>
          <w:szCs w:val="32"/>
        </w:rPr>
        <w:t>占1.1</w:t>
      </w:r>
      <w:r>
        <w:rPr>
          <w:rFonts w:ascii="方正仿宋_GBK" w:eastAsia="方正仿宋_GBK"/>
          <w:sz w:val="32"/>
          <w:szCs w:val="32"/>
        </w:rPr>
        <w:t>%，较年初预算数增加</w:t>
      </w:r>
      <w:r>
        <w:rPr>
          <w:rFonts w:hint="eastAsia" w:ascii="方正仿宋_GBK" w:eastAsia="方正仿宋_GBK"/>
          <w:sz w:val="32"/>
          <w:szCs w:val="32"/>
        </w:rPr>
        <w:t>59.21万元</w:t>
      </w:r>
      <w:r>
        <w:rPr>
          <w:rFonts w:ascii="方正仿宋_GBK" w:eastAsia="方正仿宋_GBK"/>
          <w:sz w:val="32"/>
          <w:szCs w:val="32"/>
        </w:rPr>
        <w:t>，增长</w:t>
      </w:r>
      <w:r>
        <w:rPr>
          <w:rFonts w:hint="eastAsia" w:ascii="方正仿宋_GBK" w:eastAsia="方正仿宋_GBK"/>
          <w:sz w:val="32"/>
          <w:szCs w:val="32"/>
        </w:rPr>
        <w:t>100</w:t>
      </w:r>
      <w:r>
        <w:rPr>
          <w:rFonts w:ascii="方正仿宋_GBK" w:eastAsia="方正仿宋_GBK"/>
          <w:sz w:val="32"/>
          <w:szCs w:val="32"/>
        </w:rPr>
        <w:t>%，主要原因</w:t>
      </w:r>
      <w:r>
        <w:rPr>
          <w:rFonts w:hint="eastAsia" w:ascii="方正仿宋_GBK" w:eastAsia="方正仿宋_GBK"/>
          <w:sz w:val="32"/>
          <w:szCs w:val="32"/>
        </w:rPr>
        <w:t>是年中追加</w:t>
      </w:r>
      <w:r>
        <w:rPr>
          <w:rFonts w:ascii="方正仿宋_GBK" w:eastAsia="方正仿宋_GBK"/>
          <w:sz w:val="32"/>
          <w:szCs w:val="32"/>
        </w:rPr>
        <w:t>生活</w:t>
      </w:r>
      <w:r>
        <w:rPr>
          <w:rFonts w:hint="eastAsia" w:ascii="方正仿宋_GBK" w:eastAsia="方正仿宋_GBK"/>
          <w:sz w:val="32"/>
          <w:szCs w:val="32"/>
        </w:rPr>
        <w:t>垃圾</w:t>
      </w:r>
      <w:r>
        <w:rPr>
          <w:rFonts w:ascii="方正仿宋_GBK" w:eastAsia="方正仿宋_GBK"/>
          <w:sz w:val="32"/>
          <w:szCs w:val="32"/>
        </w:rPr>
        <w:t>分类专项经费</w:t>
      </w:r>
      <w:r>
        <w:rPr>
          <w:rFonts w:hint="eastAsia" w:ascii="方正仿宋_GBK" w:eastAsia="方正仿宋_GBK"/>
          <w:sz w:val="32"/>
          <w:szCs w:val="32"/>
        </w:rPr>
        <w:t>。</w:t>
      </w:r>
    </w:p>
    <w:p w14:paraId="2615F33A">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7</w:t>
      </w:r>
      <w:r>
        <w:rPr>
          <w:rFonts w:hint="eastAsia" w:ascii="方正仿宋_GBK" w:eastAsia="方正仿宋_GBK"/>
          <w:sz w:val="32"/>
          <w:szCs w:val="32"/>
        </w:rPr>
        <w:t>）城乡社区支出</w:t>
      </w:r>
      <w:r>
        <w:rPr>
          <w:rFonts w:ascii="方正仿宋_GBK" w:eastAsia="方正仿宋_GBK"/>
          <w:sz w:val="32"/>
          <w:szCs w:val="32"/>
        </w:rPr>
        <w:t>1541.91</w:t>
      </w:r>
      <w:r>
        <w:rPr>
          <w:rFonts w:hint="eastAsia" w:ascii="方正仿宋_GBK" w:eastAsia="方正仿宋_GBK"/>
          <w:sz w:val="32"/>
          <w:szCs w:val="32"/>
        </w:rPr>
        <w:t>万元，占</w:t>
      </w:r>
      <w:r>
        <w:rPr>
          <w:rFonts w:ascii="方正仿宋_GBK" w:eastAsia="方正仿宋_GBK"/>
          <w:sz w:val="32"/>
          <w:szCs w:val="32"/>
        </w:rPr>
        <w:t>28.6</w:t>
      </w:r>
      <w:r>
        <w:rPr>
          <w:rFonts w:hint="eastAsia" w:ascii="方正仿宋_GBK" w:eastAsia="方正仿宋_GBK"/>
          <w:sz w:val="32"/>
          <w:szCs w:val="32"/>
        </w:rPr>
        <w:t>%，较年初预算数增加</w:t>
      </w:r>
      <w:r>
        <w:rPr>
          <w:rFonts w:ascii="方正仿宋_GBK" w:eastAsia="方正仿宋_GBK"/>
          <w:sz w:val="32"/>
          <w:szCs w:val="32"/>
        </w:rPr>
        <w:t>331.44</w:t>
      </w:r>
      <w:r>
        <w:rPr>
          <w:rFonts w:hint="eastAsia" w:ascii="方正仿宋_GBK" w:eastAsia="方正仿宋_GBK"/>
          <w:sz w:val="32"/>
          <w:szCs w:val="32"/>
        </w:rPr>
        <w:t>万元，增长</w:t>
      </w:r>
      <w:r>
        <w:rPr>
          <w:rFonts w:ascii="方正仿宋_GBK" w:eastAsia="方正仿宋_GBK"/>
          <w:sz w:val="32"/>
          <w:szCs w:val="32"/>
        </w:rPr>
        <w:t>27.4</w:t>
      </w:r>
      <w:r>
        <w:rPr>
          <w:rFonts w:hint="eastAsia" w:ascii="方正仿宋_GBK" w:eastAsia="方正仿宋_GBK"/>
          <w:sz w:val="32"/>
          <w:szCs w:val="32"/>
        </w:rPr>
        <w:t>%，主要原因是年中追加下达轻轨缓堵保畅道路项目专项资金、一线环卫工人慰问经费、630片区老旧居住区背街小巷综合整治工程资金等。</w:t>
      </w:r>
    </w:p>
    <w:p w14:paraId="204B166E">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8</w:t>
      </w:r>
      <w:r>
        <w:rPr>
          <w:rFonts w:hint="eastAsia" w:ascii="方正仿宋_GBK" w:eastAsia="方正仿宋_GBK"/>
          <w:sz w:val="32"/>
          <w:szCs w:val="32"/>
        </w:rPr>
        <w:t>）农林水支出</w:t>
      </w:r>
      <w:r>
        <w:rPr>
          <w:rFonts w:ascii="方正仿宋_GBK" w:eastAsia="方正仿宋_GBK"/>
          <w:sz w:val="32"/>
          <w:szCs w:val="32"/>
        </w:rPr>
        <w:t>50</w:t>
      </w:r>
      <w:r>
        <w:rPr>
          <w:rFonts w:hint="eastAsia" w:ascii="方正仿宋_GBK" w:eastAsia="方正仿宋_GBK"/>
          <w:sz w:val="32"/>
          <w:szCs w:val="32"/>
        </w:rPr>
        <w:t>万元，占</w:t>
      </w:r>
      <w:r>
        <w:rPr>
          <w:rFonts w:ascii="方正仿宋_GBK" w:eastAsia="方正仿宋_GBK"/>
          <w:sz w:val="32"/>
          <w:szCs w:val="32"/>
        </w:rPr>
        <w:t>0.9</w:t>
      </w:r>
      <w:r>
        <w:rPr>
          <w:rFonts w:hint="eastAsia" w:ascii="方正仿宋_GBK" w:eastAsia="方正仿宋_GBK"/>
          <w:sz w:val="32"/>
          <w:szCs w:val="32"/>
        </w:rPr>
        <w:t>%，较年初预算数增加</w:t>
      </w:r>
      <w:r>
        <w:rPr>
          <w:rFonts w:ascii="方正仿宋_GBK" w:eastAsia="方正仿宋_GBK"/>
          <w:sz w:val="32"/>
          <w:szCs w:val="32"/>
        </w:rPr>
        <w:t>50</w:t>
      </w:r>
      <w:r>
        <w:rPr>
          <w:rFonts w:hint="eastAsia" w:ascii="方正仿宋_GBK" w:eastAsia="方正仿宋_GBK"/>
          <w:sz w:val="32"/>
          <w:szCs w:val="32"/>
        </w:rPr>
        <w:t>万元，增长100</w:t>
      </w:r>
      <w:r>
        <w:rPr>
          <w:rFonts w:ascii="方正仿宋_GBK" w:eastAsia="方正仿宋_GBK"/>
          <w:sz w:val="32"/>
          <w:szCs w:val="32"/>
        </w:rPr>
        <w:t>%</w:t>
      </w:r>
      <w:r>
        <w:rPr>
          <w:rFonts w:hint="eastAsia" w:ascii="方正仿宋_GBK" w:eastAsia="方正仿宋_GBK"/>
          <w:sz w:val="32"/>
          <w:szCs w:val="32"/>
        </w:rPr>
        <w:t>，主要原因是年中追加下达防汛抢险和灾后重建补助经费。</w:t>
      </w:r>
    </w:p>
    <w:p w14:paraId="54CF2DA0">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9</w:t>
      </w:r>
      <w:r>
        <w:rPr>
          <w:rFonts w:hint="eastAsia" w:ascii="方正仿宋_GBK" w:eastAsia="方正仿宋_GBK"/>
          <w:sz w:val="32"/>
          <w:szCs w:val="32"/>
        </w:rPr>
        <w:t>）住房保障支出</w:t>
      </w:r>
      <w:r>
        <w:rPr>
          <w:rFonts w:ascii="方正仿宋_GBK" w:eastAsia="方正仿宋_GBK"/>
          <w:sz w:val="32"/>
          <w:szCs w:val="32"/>
        </w:rPr>
        <w:t>69.54</w:t>
      </w:r>
      <w:r>
        <w:rPr>
          <w:rFonts w:hint="eastAsia" w:ascii="方正仿宋_GBK" w:eastAsia="方正仿宋_GBK"/>
          <w:sz w:val="32"/>
          <w:szCs w:val="32"/>
        </w:rPr>
        <w:t>万元，占</w:t>
      </w:r>
      <w:r>
        <w:rPr>
          <w:rFonts w:ascii="方正仿宋_GBK" w:eastAsia="方正仿宋_GBK"/>
          <w:sz w:val="32"/>
          <w:szCs w:val="32"/>
        </w:rPr>
        <w:t>1.3</w:t>
      </w:r>
      <w:r>
        <w:rPr>
          <w:rFonts w:hint="eastAsia" w:ascii="方正仿宋_GBK" w:eastAsia="方正仿宋_GBK"/>
          <w:sz w:val="32"/>
          <w:szCs w:val="32"/>
        </w:rPr>
        <w:t>%，较年初预算数增加</w:t>
      </w:r>
      <w:r>
        <w:rPr>
          <w:rFonts w:ascii="方正仿宋_GBK" w:eastAsia="方正仿宋_GBK"/>
          <w:sz w:val="32"/>
          <w:szCs w:val="32"/>
        </w:rPr>
        <w:t>24.83</w:t>
      </w:r>
      <w:r>
        <w:rPr>
          <w:rFonts w:hint="eastAsia" w:ascii="方正仿宋_GBK" w:eastAsia="方正仿宋_GBK"/>
          <w:sz w:val="32"/>
          <w:szCs w:val="32"/>
        </w:rPr>
        <w:t>万元，增长</w:t>
      </w:r>
      <w:r>
        <w:rPr>
          <w:rFonts w:ascii="方正仿宋_GBK" w:eastAsia="方正仿宋_GBK"/>
          <w:sz w:val="32"/>
          <w:szCs w:val="32"/>
        </w:rPr>
        <w:t>55.5</w:t>
      </w:r>
      <w:r>
        <w:rPr>
          <w:rFonts w:hint="eastAsia" w:ascii="方正仿宋_GBK" w:eastAsia="方正仿宋_GBK"/>
          <w:sz w:val="32"/>
          <w:szCs w:val="32"/>
        </w:rPr>
        <w:t>%，主要原因是年中追加下达住房公积金、住房补贴等经费。</w:t>
      </w:r>
    </w:p>
    <w:p w14:paraId="34BA6467">
      <w:pPr>
        <w:pStyle w:val="6"/>
        <w:shd w:val="clear" w:color="auto" w:fill="FFFFFF"/>
        <w:spacing w:before="0" w:beforeAutospacing="0" w:after="0" w:afterAutospacing="0" w:line="560" w:lineRule="exact"/>
        <w:ind w:firstLine="643" w:firstLineChars="200"/>
        <w:jc w:val="both"/>
        <w:outlineLvl w:val="0"/>
        <w:rPr>
          <w:rFonts w:ascii="楷体" w:hAnsi="楷体" w:eastAsia="楷体"/>
          <w:sz w:val="32"/>
          <w:szCs w:val="32"/>
        </w:rPr>
      </w:pPr>
      <w:r>
        <w:rPr>
          <w:rStyle w:val="9"/>
          <w:rFonts w:hint="eastAsia" w:ascii="楷体" w:hAnsi="楷体" w:eastAsia="楷体"/>
          <w:sz w:val="32"/>
          <w:szCs w:val="32"/>
        </w:rPr>
        <w:t>（四）一般公共预算财政拨款基本支出决算情况说明</w:t>
      </w:r>
    </w:p>
    <w:p w14:paraId="6D7721B9">
      <w:pPr>
        <w:pStyle w:val="6"/>
        <w:shd w:val="clear" w:color="auto" w:fill="FFFFFF"/>
        <w:spacing w:before="0" w:beforeAutospacing="0" w:after="0" w:afterAutospacing="0" w:line="600" w:lineRule="exact"/>
        <w:ind w:firstLine="640"/>
        <w:jc w:val="both"/>
        <w:rPr>
          <w:rFonts w:ascii="方正仿宋_GBK" w:eastAsia="方正仿宋_GBK"/>
          <w:sz w:val="32"/>
          <w:szCs w:val="32"/>
        </w:rPr>
      </w:pPr>
      <w:r>
        <w:rPr>
          <w:rFonts w:hint="eastAsia" w:ascii="方正仿宋_GBK" w:eastAsia="方正仿宋_GBK"/>
          <w:sz w:val="32"/>
          <w:szCs w:val="32"/>
        </w:rPr>
        <w:t>2020年度一般公共财政拨款基本支出</w:t>
      </w:r>
      <w:r>
        <w:rPr>
          <w:rFonts w:ascii="方正仿宋_GBK" w:eastAsia="方正仿宋_GBK"/>
          <w:sz w:val="32"/>
          <w:szCs w:val="32"/>
        </w:rPr>
        <w:t>1297.72</w:t>
      </w:r>
      <w:r>
        <w:rPr>
          <w:rFonts w:hint="eastAsia" w:ascii="方正仿宋_GBK" w:eastAsia="方正仿宋_GBK"/>
          <w:sz w:val="32"/>
          <w:szCs w:val="32"/>
        </w:rPr>
        <w:t>万元。其中：人员经费</w:t>
      </w:r>
      <w:r>
        <w:rPr>
          <w:rFonts w:ascii="方正仿宋_GBK" w:eastAsia="方正仿宋_GBK"/>
          <w:sz w:val="32"/>
          <w:szCs w:val="32"/>
        </w:rPr>
        <w:t>972.92</w:t>
      </w:r>
      <w:r>
        <w:rPr>
          <w:rFonts w:hint="eastAsia" w:ascii="方正仿宋_GBK" w:eastAsia="方正仿宋_GBK"/>
          <w:sz w:val="32"/>
          <w:szCs w:val="32"/>
        </w:rPr>
        <w:t>万元，较上年决算数增加</w:t>
      </w:r>
      <w:r>
        <w:rPr>
          <w:rFonts w:ascii="方正仿宋_GBK" w:eastAsia="方正仿宋_GBK"/>
          <w:sz w:val="32"/>
          <w:szCs w:val="32"/>
        </w:rPr>
        <w:t>48.34</w:t>
      </w:r>
      <w:r>
        <w:rPr>
          <w:rFonts w:hint="eastAsia" w:ascii="方正仿宋_GBK" w:eastAsia="方正仿宋_GBK"/>
          <w:sz w:val="32"/>
          <w:szCs w:val="32"/>
        </w:rPr>
        <w:t>万元，增长</w:t>
      </w:r>
      <w:r>
        <w:rPr>
          <w:rFonts w:ascii="方正仿宋_GBK" w:eastAsia="方正仿宋_GBK"/>
          <w:sz w:val="32"/>
          <w:szCs w:val="32"/>
        </w:rPr>
        <w:t>5.2</w:t>
      </w:r>
      <w:r>
        <w:rPr>
          <w:rFonts w:hint="eastAsia" w:ascii="方正仿宋_GBK" w:eastAsia="方正仿宋_GBK"/>
          <w:sz w:val="32"/>
          <w:szCs w:val="32"/>
        </w:rPr>
        <w:t>%，主要原因是在编人员净增加</w:t>
      </w:r>
      <w:r>
        <w:rPr>
          <w:rFonts w:ascii="方正仿宋_GBK" w:eastAsia="方正仿宋_GBK"/>
          <w:sz w:val="32"/>
          <w:szCs w:val="32"/>
        </w:rPr>
        <w:t>6</w:t>
      </w:r>
      <w:r>
        <w:rPr>
          <w:rFonts w:hint="eastAsia" w:ascii="方正仿宋_GBK" w:eastAsia="方正仿宋_GBK"/>
          <w:sz w:val="32"/>
          <w:szCs w:val="32"/>
        </w:rPr>
        <w:t>人。人员经费用途主要包括基本工资、津贴补贴、奖金、社会保障缴费、绩效工资、其他工资福利支出、退休费、生活补助、住房公积金、公务员医疗补助等。公用经费</w:t>
      </w:r>
      <w:r>
        <w:rPr>
          <w:rFonts w:ascii="方正仿宋_GBK" w:eastAsia="方正仿宋_GBK"/>
          <w:sz w:val="32"/>
          <w:szCs w:val="32"/>
        </w:rPr>
        <w:t>324.8</w:t>
      </w:r>
      <w:r>
        <w:rPr>
          <w:rFonts w:hint="eastAsia" w:ascii="方正仿宋_GBK" w:eastAsia="方正仿宋_GBK"/>
          <w:sz w:val="32"/>
          <w:szCs w:val="32"/>
        </w:rPr>
        <w:t>万元，较上年决算数增加</w:t>
      </w:r>
      <w:r>
        <w:rPr>
          <w:rFonts w:ascii="方正仿宋_GBK" w:eastAsia="方正仿宋_GBK"/>
          <w:sz w:val="32"/>
          <w:szCs w:val="32"/>
        </w:rPr>
        <w:t>62.57</w:t>
      </w:r>
      <w:r>
        <w:rPr>
          <w:rFonts w:hint="eastAsia" w:ascii="方正仿宋_GBK" w:eastAsia="方正仿宋_GBK"/>
          <w:sz w:val="32"/>
          <w:szCs w:val="32"/>
        </w:rPr>
        <w:t>万元，增长</w:t>
      </w:r>
      <w:r>
        <w:rPr>
          <w:rFonts w:ascii="方正仿宋_GBK" w:eastAsia="方正仿宋_GBK"/>
          <w:sz w:val="32"/>
          <w:szCs w:val="32"/>
        </w:rPr>
        <w:t>23.9</w:t>
      </w:r>
      <w:r>
        <w:rPr>
          <w:rFonts w:hint="eastAsia" w:ascii="方正仿宋_GBK" w:eastAsia="方正仿宋_GBK"/>
          <w:sz w:val="32"/>
          <w:szCs w:val="32"/>
        </w:rPr>
        <w:t>%，主要原因：一是在编人员净增加</w:t>
      </w:r>
      <w:r>
        <w:rPr>
          <w:rFonts w:ascii="方正仿宋_GBK" w:eastAsia="方正仿宋_GBK"/>
          <w:sz w:val="32"/>
          <w:szCs w:val="32"/>
        </w:rPr>
        <w:t>6</w:t>
      </w:r>
      <w:r>
        <w:rPr>
          <w:rFonts w:hint="eastAsia" w:ascii="方正仿宋_GBK" w:eastAsia="方正仿宋_GBK"/>
          <w:sz w:val="32"/>
          <w:szCs w:val="32"/>
        </w:rPr>
        <w:t>人，公用经费相应增加等。公用经费用途主要包括办公费、印刷费、水费、电费、邮电费、差旅费、劳务费、公务接待费、公务用车运行维护费等。</w:t>
      </w:r>
    </w:p>
    <w:p w14:paraId="12CB3A4F">
      <w:pPr>
        <w:pStyle w:val="6"/>
        <w:shd w:val="clear" w:color="auto" w:fill="FFFFFF"/>
        <w:spacing w:before="0" w:beforeAutospacing="0" w:after="0" w:afterAutospacing="0" w:line="560" w:lineRule="exact"/>
        <w:ind w:firstLine="643" w:firstLineChars="200"/>
        <w:jc w:val="both"/>
        <w:outlineLvl w:val="0"/>
        <w:rPr>
          <w:rStyle w:val="9"/>
          <w:rFonts w:ascii="楷体" w:hAnsi="楷体" w:eastAsia="楷体"/>
        </w:rPr>
      </w:pPr>
      <w:r>
        <w:rPr>
          <w:rStyle w:val="9"/>
          <w:rFonts w:hint="eastAsia" w:ascii="楷体" w:hAnsi="楷体" w:eastAsia="楷体"/>
          <w:sz w:val="32"/>
          <w:szCs w:val="32"/>
        </w:rPr>
        <w:t>（五）政府性基金预算收支决算情况说明</w:t>
      </w:r>
    </w:p>
    <w:p w14:paraId="00CFE8F3">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2020年度政府性基金预算财政拨款年初结转结余</w:t>
      </w:r>
      <w:r>
        <w:rPr>
          <w:rFonts w:ascii="方正仿宋_GBK" w:eastAsia="方正仿宋_GBK"/>
          <w:sz w:val="32"/>
          <w:szCs w:val="32"/>
        </w:rPr>
        <w:t>20</w:t>
      </w:r>
      <w:r>
        <w:rPr>
          <w:rFonts w:hint="eastAsia" w:ascii="方正仿宋_GBK" w:eastAsia="方正仿宋_GBK"/>
          <w:sz w:val="32"/>
          <w:szCs w:val="32"/>
        </w:rPr>
        <w:t>万元，年末结转结余0万元。本年收入</w:t>
      </w:r>
      <w:r>
        <w:rPr>
          <w:rFonts w:ascii="方正仿宋_GBK" w:eastAsia="方正仿宋_GBK"/>
          <w:sz w:val="32"/>
          <w:szCs w:val="32"/>
        </w:rPr>
        <w:t>377.88</w:t>
      </w:r>
      <w:r>
        <w:rPr>
          <w:rFonts w:hint="eastAsia" w:ascii="方正仿宋_GBK" w:eastAsia="方正仿宋_GBK"/>
          <w:sz w:val="32"/>
          <w:szCs w:val="32"/>
        </w:rPr>
        <w:t>万元，较上年决算数增加</w:t>
      </w:r>
      <w:r>
        <w:rPr>
          <w:rFonts w:ascii="方正仿宋_GBK" w:eastAsia="方正仿宋_GBK"/>
          <w:sz w:val="32"/>
          <w:szCs w:val="32"/>
        </w:rPr>
        <w:t>318.31</w:t>
      </w:r>
      <w:r>
        <w:rPr>
          <w:rFonts w:hint="eastAsia" w:ascii="方正仿宋_GBK" w:eastAsia="方正仿宋_GBK"/>
          <w:sz w:val="32"/>
          <w:szCs w:val="32"/>
        </w:rPr>
        <w:t>万元，增长</w:t>
      </w:r>
      <w:r>
        <w:rPr>
          <w:rFonts w:ascii="方正仿宋_GBK" w:eastAsia="方正仿宋_GBK"/>
          <w:sz w:val="32"/>
          <w:szCs w:val="32"/>
        </w:rPr>
        <w:t>534.3</w:t>
      </w:r>
      <w:r>
        <w:rPr>
          <w:rFonts w:hint="eastAsia" w:ascii="方正仿宋_GBK" w:eastAsia="方正仿宋_GBK"/>
          <w:sz w:val="32"/>
          <w:szCs w:val="32"/>
        </w:rPr>
        <w:t>%，主要原因是年中追加下达追加抗疫特别国债资金</w:t>
      </w:r>
      <w:r>
        <w:rPr>
          <w:rFonts w:ascii="方正仿宋_GBK" w:eastAsia="方正仿宋_GBK"/>
          <w:sz w:val="32"/>
          <w:szCs w:val="32"/>
        </w:rPr>
        <w:t>110万元，星宇养老服务站经费200万元，民政等经费8.3万元</w:t>
      </w:r>
      <w:r>
        <w:rPr>
          <w:rFonts w:hint="eastAsia" w:ascii="方正仿宋_GBK" w:eastAsia="方正仿宋_GBK"/>
          <w:sz w:val="32"/>
          <w:szCs w:val="32"/>
        </w:rPr>
        <w:t>。本年支出</w:t>
      </w:r>
      <w:r>
        <w:rPr>
          <w:rFonts w:ascii="方正仿宋_GBK" w:eastAsia="方正仿宋_GBK"/>
          <w:sz w:val="32"/>
          <w:szCs w:val="32"/>
        </w:rPr>
        <w:t>397.88</w:t>
      </w:r>
      <w:r>
        <w:rPr>
          <w:rFonts w:hint="eastAsia" w:ascii="方正仿宋_GBK" w:eastAsia="方正仿宋_GBK"/>
          <w:sz w:val="32"/>
          <w:szCs w:val="32"/>
        </w:rPr>
        <w:t>万元，较上年决算数增加</w:t>
      </w:r>
      <w:r>
        <w:rPr>
          <w:rFonts w:ascii="方正仿宋_GBK" w:eastAsia="方正仿宋_GBK"/>
          <w:sz w:val="32"/>
          <w:szCs w:val="32"/>
        </w:rPr>
        <w:t>353.38</w:t>
      </w:r>
      <w:r>
        <w:rPr>
          <w:rFonts w:hint="eastAsia" w:ascii="方正仿宋_GBK" w:eastAsia="方正仿宋_GBK"/>
          <w:sz w:val="32"/>
          <w:szCs w:val="32"/>
        </w:rPr>
        <w:t>万元，增长</w:t>
      </w:r>
      <w:r>
        <w:rPr>
          <w:rFonts w:ascii="方正仿宋_GBK" w:eastAsia="方正仿宋_GBK"/>
          <w:sz w:val="32"/>
          <w:szCs w:val="32"/>
        </w:rPr>
        <w:t>794.1</w:t>
      </w:r>
      <w:r>
        <w:rPr>
          <w:rFonts w:hint="eastAsia" w:ascii="方正仿宋_GBK" w:eastAsia="方正仿宋_GBK"/>
          <w:sz w:val="32"/>
          <w:szCs w:val="32"/>
        </w:rPr>
        <w:t>%，主要原因是年中追加下达主要原因是年中追加下达追加抗疫特别国债资金</w:t>
      </w:r>
      <w:r>
        <w:rPr>
          <w:rFonts w:ascii="方正仿宋_GBK" w:eastAsia="方正仿宋_GBK"/>
          <w:sz w:val="32"/>
          <w:szCs w:val="32"/>
        </w:rPr>
        <w:t>110万元，星宇养老服务站经费200万元，民政等经费8</w:t>
      </w:r>
      <w:r>
        <w:rPr>
          <w:rFonts w:hint="eastAsia" w:ascii="方正仿宋_GBK" w:eastAsia="方正仿宋_GBK"/>
          <w:sz w:val="32"/>
          <w:szCs w:val="32"/>
        </w:rPr>
        <w:t>，以及</w:t>
      </w:r>
      <w:r>
        <w:rPr>
          <w:rFonts w:ascii="方正仿宋_GBK" w:eastAsia="方正仿宋_GBK"/>
          <w:sz w:val="32"/>
          <w:szCs w:val="32"/>
        </w:rPr>
        <w:t>支付年初双峰山社区养老服务站建设</w:t>
      </w:r>
      <w:r>
        <w:rPr>
          <w:rFonts w:hint="eastAsia" w:ascii="方正仿宋_GBK" w:eastAsia="方正仿宋_GBK"/>
          <w:sz w:val="32"/>
          <w:szCs w:val="32"/>
        </w:rPr>
        <w:t>年初</w:t>
      </w:r>
      <w:r>
        <w:rPr>
          <w:rFonts w:ascii="方正仿宋_GBK" w:eastAsia="方正仿宋_GBK"/>
          <w:sz w:val="32"/>
          <w:szCs w:val="32"/>
        </w:rPr>
        <w:t>结转资金</w:t>
      </w:r>
      <w:r>
        <w:rPr>
          <w:rFonts w:hint="eastAsia" w:ascii="方正仿宋_GBK" w:eastAsia="方正仿宋_GBK"/>
          <w:sz w:val="32"/>
          <w:szCs w:val="32"/>
        </w:rPr>
        <w:t>20万</w:t>
      </w:r>
      <w:r>
        <w:rPr>
          <w:rFonts w:ascii="方正仿宋_GBK" w:eastAsia="方正仿宋_GBK"/>
          <w:sz w:val="32"/>
          <w:szCs w:val="32"/>
        </w:rPr>
        <w:t>。</w:t>
      </w:r>
    </w:p>
    <w:p w14:paraId="70A79A22">
      <w:pPr>
        <w:pStyle w:val="6"/>
        <w:shd w:val="clear" w:color="auto" w:fill="FFFFFF"/>
        <w:spacing w:before="0" w:beforeAutospacing="0" w:after="0" w:afterAutospacing="0" w:line="560" w:lineRule="exact"/>
        <w:ind w:firstLine="643" w:firstLineChars="200"/>
        <w:jc w:val="both"/>
        <w:outlineLvl w:val="0"/>
        <w:rPr>
          <w:rFonts w:ascii="楷体" w:hAnsi="楷体" w:eastAsia="楷体"/>
          <w:b/>
          <w:bCs/>
          <w:sz w:val="32"/>
          <w:szCs w:val="32"/>
        </w:rPr>
      </w:pPr>
      <w:r>
        <w:rPr>
          <w:rStyle w:val="9"/>
          <w:rFonts w:hint="eastAsia" w:ascii="楷体" w:hAnsi="楷体" w:eastAsia="楷体"/>
          <w:sz w:val="32"/>
          <w:szCs w:val="32"/>
        </w:rPr>
        <w:t>（六）国有资本经营预算财政拨款支出决算情况说明</w:t>
      </w:r>
    </w:p>
    <w:p w14:paraId="7288F6B5">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本部门2020年度无国有资本经营预算财政拨款支出。</w:t>
      </w:r>
    </w:p>
    <w:p w14:paraId="59C300CA">
      <w:pPr>
        <w:pStyle w:val="6"/>
        <w:shd w:val="clear" w:color="auto" w:fill="FFFFFF"/>
        <w:spacing w:before="0" w:beforeAutospacing="0" w:after="0" w:afterAutospacing="0" w:line="560" w:lineRule="exact"/>
        <w:ind w:firstLine="640" w:firstLineChars="200"/>
        <w:jc w:val="both"/>
        <w:outlineLvl w:val="0"/>
        <w:rPr>
          <w:rStyle w:val="9"/>
          <w:rFonts w:ascii="方正黑体_GBK" w:eastAsia="方正黑体_GBK"/>
        </w:rPr>
      </w:pPr>
      <w:r>
        <w:rPr>
          <w:rStyle w:val="9"/>
          <w:rFonts w:hint="eastAsia" w:ascii="方正黑体_GBK" w:eastAsia="方正黑体_GBK"/>
          <w:b w:val="0"/>
          <w:sz w:val="32"/>
          <w:szCs w:val="32"/>
        </w:rPr>
        <w:t>三、“三公”经费情况说明</w:t>
      </w:r>
    </w:p>
    <w:p w14:paraId="491320F5">
      <w:pPr>
        <w:pStyle w:val="6"/>
        <w:shd w:val="clear" w:color="auto" w:fill="FFFFFF"/>
        <w:spacing w:before="0" w:beforeAutospacing="0" w:after="0" w:afterAutospacing="0" w:line="560" w:lineRule="exact"/>
        <w:ind w:firstLine="643" w:firstLineChars="200"/>
        <w:jc w:val="both"/>
        <w:outlineLvl w:val="1"/>
        <w:rPr>
          <w:rFonts w:ascii="楷体" w:hAnsi="楷体" w:eastAsia="楷体"/>
          <w:sz w:val="32"/>
          <w:szCs w:val="32"/>
        </w:rPr>
      </w:pPr>
      <w:r>
        <w:rPr>
          <w:rStyle w:val="9"/>
          <w:rFonts w:hint="eastAsia" w:ascii="楷体" w:hAnsi="楷体" w:eastAsia="楷体"/>
          <w:sz w:val="32"/>
          <w:szCs w:val="32"/>
        </w:rPr>
        <w:t>（一）“三公”经费支出总体情况说明</w:t>
      </w:r>
    </w:p>
    <w:p w14:paraId="1409FDAB">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2020年度“三公”经费支出共计</w:t>
      </w:r>
      <w:r>
        <w:rPr>
          <w:rFonts w:ascii="方正仿宋_GBK" w:eastAsia="方正仿宋_GBK"/>
          <w:sz w:val="32"/>
          <w:szCs w:val="32"/>
        </w:rPr>
        <w:t>15.07</w:t>
      </w:r>
      <w:r>
        <w:rPr>
          <w:rFonts w:hint="eastAsia" w:ascii="方正仿宋_GBK" w:eastAsia="方正仿宋_GBK"/>
          <w:sz w:val="32"/>
          <w:szCs w:val="32"/>
        </w:rPr>
        <w:t>万元，较年初预算数减少</w:t>
      </w:r>
      <w:r>
        <w:rPr>
          <w:rFonts w:ascii="方正仿宋_GBK" w:eastAsia="方正仿宋_GBK"/>
          <w:sz w:val="32"/>
          <w:szCs w:val="32"/>
        </w:rPr>
        <w:t>16.43</w:t>
      </w:r>
      <w:r>
        <w:rPr>
          <w:rFonts w:hint="eastAsia" w:ascii="方正仿宋_GBK" w:eastAsia="方正仿宋_GBK"/>
          <w:sz w:val="32"/>
          <w:szCs w:val="32"/>
        </w:rPr>
        <w:t xml:space="preserve">万元，下降 </w:t>
      </w:r>
      <w:r>
        <w:rPr>
          <w:rFonts w:ascii="方正仿宋_GBK" w:eastAsia="方正仿宋_GBK"/>
          <w:sz w:val="32"/>
          <w:szCs w:val="32"/>
        </w:rPr>
        <w:t>52.2</w:t>
      </w:r>
      <w:r>
        <w:rPr>
          <w:rFonts w:hint="eastAsia" w:ascii="方正仿宋_GBK" w:eastAsia="方正仿宋_GBK"/>
          <w:sz w:val="32"/>
          <w:szCs w:val="32"/>
        </w:rPr>
        <w:t>%，主要原因:一是认真贯彻落实中央八项规定精神，按照只减不增的要求从严控制“三公”经费，全年实际支出较年初预算和上年决算均有所下降；二是强化公务接待支出管理，严格遵守公务接待开支范围和开支标准，严格控制陪餐人数，公务接待费大幅下降；三是进一步规范因公出国（境）活动，今年未安排人员出国出访。较上年支出数增加</w:t>
      </w:r>
      <w:r>
        <w:rPr>
          <w:rFonts w:ascii="方正仿宋_GBK" w:eastAsia="方正仿宋_GBK"/>
          <w:sz w:val="32"/>
          <w:szCs w:val="32"/>
        </w:rPr>
        <w:t>0.92</w:t>
      </w:r>
      <w:r>
        <w:rPr>
          <w:rFonts w:hint="eastAsia" w:ascii="方正仿宋_GBK" w:eastAsia="方正仿宋_GBK"/>
          <w:sz w:val="32"/>
          <w:szCs w:val="32"/>
        </w:rPr>
        <w:t>万元，增长</w:t>
      </w:r>
      <w:r>
        <w:rPr>
          <w:rFonts w:ascii="方正仿宋_GBK" w:eastAsia="方正仿宋_GBK"/>
          <w:sz w:val="32"/>
          <w:szCs w:val="32"/>
        </w:rPr>
        <w:t>6.5</w:t>
      </w:r>
      <w:r>
        <w:rPr>
          <w:rFonts w:hint="eastAsia" w:ascii="方正仿宋_GBK" w:eastAsia="方正仿宋_GBK"/>
          <w:sz w:val="32"/>
          <w:szCs w:val="32"/>
        </w:rPr>
        <w:t>%，主要</w:t>
      </w:r>
      <w:r>
        <w:rPr>
          <w:rFonts w:hint="eastAsia" w:ascii="方正仿宋_GBK" w:eastAsia="方正仿宋_GBK"/>
          <w:sz w:val="32"/>
          <w:szCs w:val="32"/>
          <w:lang w:eastAsia="zh-CN"/>
        </w:rPr>
        <w:t>原因是</w:t>
      </w:r>
      <w:r>
        <w:rPr>
          <w:rFonts w:hint="eastAsia" w:ascii="方正仿宋_GBK" w:eastAsia="方正仿宋_GBK"/>
          <w:sz w:val="32"/>
          <w:szCs w:val="32"/>
        </w:rPr>
        <w:t>公务车使用年限较长，车辆维修费较上年有所增加。</w:t>
      </w:r>
    </w:p>
    <w:p w14:paraId="538DF396">
      <w:pPr>
        <w:pStyle w:val="6"/>
        <w:shd w:val="clear" w:color="auto" w:fill="FFFFFF"/>
        <w:spacing w:before="0" w:beforeAutospacing="0" w:after="0" w:afterAutospacing="0" w:line="560" w:lineRule="exact"/>
        <w:ind w:firstLine="643" w:firstLineChars="200"/>
        <w:jc w:val="both"/>
        <w:outlineLvl w:val="1"/>
        <w:rPr>
          <w:rFonts w:ascii="楷体" w:hAnsi="楷体" w:eastAsia="楷体"/>
          <w:sz w:val="32"/>
          <w:szCs w:val="32"/>
        </w:rPr>
      </w:pPr>
      <w:r>
        <w:rPr>
          <w:rStyle w:val="9"/>
          <w:rFonts w:hint="eastAsia" w:ascii="楷体" w:hAnsi="楷体" w:eastAsia="楷体"/>
          <w:sz w:val="32"/>
          <w:szCs w:val="32"/>
        </w:rPr>
        <w:t>（二）“三公”经费分项支出情况</w:t>
      </w:r>
    </w:p>
    <w:p w14:paraId="36A1AAF2">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本单位2020年度未发生因公出国（境）支出。费用支出较年初预算数增加0万元，主要原因是今年未安排因公出国（境）支出。较上年支出数增加0万元，主要原因是2019年度、2020年度均未安排人员出国出访。</w:t>
      </w:r>
    </w:p>
    <w:p w14:paraId="4EB13274">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本单位2019年度未发生公务车购置支出。费用支出较年初预算数增加0万元；较上年支出数增加0万元。主要原因是2019年度、2020年度均未安排公务车购置。</w:t>
      </w:r>
    </w:p>
    <w:p w14:paraId="750256E8">
      <w:pPr>
        <w:pStyle w:val="6"/>
        <w:shd w:val="clear" w:color="auto" w:fill="FFFFFF"/>
        <w:spacing w:before="0" w:beforeAutospacing="0" w:after="0" w:afterAutospacing="0" w:line="600" w:lineRule="exact"/>
        <w:ind w:firstLine="640"/>
        <w:jc w:val="both"/>
        <w:rPr>
          <w:rFonts w:ascii="方正仿宋_GBK" w:eastAsia="方正仿宋_GBK"/>
          <w:sz w:val="32"/>
          <w:szCs w:val="32"/>
        </w:rPr>
      </w:pPr>
      <w:r>
        <w:rPr>
          <w:rFonts w:hint="eastAsia" w:ascii="方正仿宋_GBK" w:eastAsia="方正仿宋_GBK"/>
          <w:sz w:val="32"/>
          <w:szCs w:val="32"/>
        </w:rPr>
        <w:t>公务车运行维护费</w:t>
      </w:r>
      <w:r>
        <w:rPr>
          <w:rFonts w:ascii="方正仿宋_GBK" w:eastAsia="方正仿宋_GBK"/>
          <w:sz w:val="32"/>
          <w:szCs w:val="32"/>
        </w:rPr>
        <w:t>15.07</w:t>
      </w:r>
      <w:r>
        <w:rPr>
          <w:rFonts w:hint="eastAsia" w:ascii="方正仿宋_GBK" w:eastAsia="方正仿宋_GBK"/>
          <w:sz w:val="32"/>
          <w:szCs w:val="32"/>
        </w:rPr>
        <w:t>万元，主要用于因公出行、业务检查等工作所需车辆的燃料费、维修费、过桥过路费、保险费等。费用支出较年初预算数减少</w:t>
      </w:r>
      <w:r>
        <w:rPr>
          <w:rFonts w:ascii="方正仿宋_GBK" w:eastAsia="方正仿宋_GBK"/>
          <w:sz w:val="32"/>
          <w:szCs w:val="32"/>
        </w:rPr>
        <w:t>13.43</w:t>
      </w:r>
      <w:r>
        <w:rPr>
          <w:rFonts w:hint="eastAsia" w:ascii="方正仿宋_GBK" w:eastAsia="方正仿宋_GBK"/>
          <w:sz w:val="32"/>
          <w:szCs w:val="32"/>
        </w:rPr>
        <w:t xml:space="preserve">万元，下降 </w:t>
      </w:r>
      <w:r>
        <w:rPr>
          <w:rFonts w:ascii="方正仿宋_GBK" w:eastAsia="方正仿宋_GBK"/>
          <w:sz w:val="32"/>
          <w:szCs w:val="32"/>
        </w:rPr>
        <w:t>47.1</w:t>
      </w:r>
      <w:r>
        <w:rPr>
          <w:rFonts w:hint="eastAsia" w:ascii="方正仿宋_GBK" w:eastAsia="方正仿宋_GBK"/>
          <w:sz w:val="32"/>
          <w:szCs w:val="32"/>
        </w:rPr>
        <w:t>%。主要原因是严格落实公车使用规定，严禁公车私用，公车运行维护支出较年初预算有所下降。较上年支出数增加</w:t>
      </w:r>
      <w:r>
        <w:rPr>
          <w:rFonts w:ascii="方正仿宋_GBK" w:eastAsia="方正仿宋_GBK"/>
          <w:sz w:val="32"/>
          <w:szCs w:val="32"/>
        </w:rPr>
        <w:t>1.11</w:t>
      </w:r>
      <w:r>
        <w:rPr>
          <w:rFonts w:hint="eastAsia" w:ascii="方正仿宋_GBK" w:eastAsia="方正仿宋_GBK"/>
          <w:sz w:val="32"/>
          <w:szCs w:val="32"/>
        </w:rPr>
        <w:t xml:space="preserve">万元，增长 </w:t>
      </w:r>
      <w:r>
        <w:rPr>
          <w:rFonts w:ascii="方正仿宋_GBK" w:eastAsia="方正仿宋_GBK"/>
          <w:sz w:val="32"/>
          <w:szCs w:val="32"/>
        </w:rPr>
        <w:t>8.0</w:t>
      </w:r>
      <w:r>
        <w:rPr>
          <w:rFonts w:hint="eastAsia" w:ascii="方正仿宋_GBK" w:eastAsia="方正仿宋_GBK"/>
          <w:sz w:val="32"/>
          <w:szCs w:val="32"/>
        </w:rPr>
        <w:t>%。主要</w:t>
      </w:r>
      <w:r>
        <w:rPr>
          <w:rFonts w:hint="eastAsia" w:ascii="方正仿宋_GBK" w:eastAsia="方正仿宋_GBK"/>
          <w:sz w:val="32"/>
          <w:szCs w:val="32"/>
          <w:lang w:eastAsia="zh-CN"/>
        </w:rPr>
        <w:t>原因是</w:t>
      </w:r>
      <w:r>
        <w:rPr>
          <w:rFonts w:hint="eastAsia" w:ascii="方正仿宋_GBK" w:eastAsia="方正仿宋_GBK"/>
          <w:sz w:val="32"/>
          <w:szCs w:val="32"/>
        </w:rPr>
        <w:t>公务车使用年限较长，车辆维修费较上年有所增加。</w:t>
      </w:r>
    </w:p>
    <w:p w14:paraId="2A53BAA8">
      <w:pPr>
        <w:ind w:firstLine="640" w:firstLineChars="200"/>
        <w:jc w:val="both"/>
        <w:rPr>
          <w:rFonts w:ascii="方正仿宋_GBK" w:eastAsia="方正仿宋_GBK"/>
          <w:sz w:val="32"/>
          <w:szCs w:val="32"/>
        </w:rPr>
      </w:pPr>
      <w:r>
        <w:rPr>
          <w:rFonts w:hint="eastAsia" w:ascii="方正仿宋_GBK" w:eastAsia="方正仿宋_GBK"/>
          <w:sz w:val="32"/>
          <w:szCs w:val="32"/>
        </w:rPr>
        <w:t>公务接待费</w:t>
      </w:r>
      <w:r>
        <w:rPr>
          <w:rFonts w:ascii="方正仿宋_GBK" w:eastAsia="方正仿宋_GBK"/>
          <w:sz w:val="32"/>
          <w:szCs w:val="32"/>
        </w:rPr>
        <w:t>0</w:t>
      </w:r>
      <w:r>
        <w:rPr>
          <w:rFonts w:hint="eastAsia" w:ascii="方正仿宋_GBK" w:eastAsia="方正仿宋_GBK"/>
          <w:sz w:val="32"/>
          <w:szCs w:val="32"/>
        </w:rPr>
        <w:t xml:space="preserve">。费用支出较年初预算数减少 </w:t>
      </w:r>
      <w:r>
        <w:rPr>
          <w:rFonts w:ascii="方正仿宋_GBK" w:eastAsia="方正仿宋_GBK"/>
          <w:sz w:val="32"/>
          <w:szCs w:val="32"/>
        </w:rPr>
        <w:t>3</w:t>
      </w:r>
      <w:r>
        <w:rPr>
          <w:rFonts w:hint="eastAsia" w:ascii="方正仿宋_GBK" w:eastAsia="方正仿宋_GBK"/>
          <w:sz w:val="32"/>
          <w:szCs w:val="32"/>
        </w:rPr>
        <w:t xml:space="preserve">万元，下降 </w:t>
      </w:r>
      <w:r>
        <w:rPr>
          <w:rFonts w:ascii="方正仿宋_GBK" w:eastAsia="方正仿宋_GBK"/>
          <w:sz w:val="32"/>
          <w:szCs w:val="32"/>
        </w:rPr>
        <w:t>100</w:t>
      </w:r>
      <w:r>
        <w:rPr>
          <w:rFonts w:hint="eastAsia" w:ascii="方正仿宋_GBK" w:eastAsia="方正仿宋_GBK"/>
          <w:sz w:val="32"/>
          <w:szCs w:val="32"/>
        </w:rPr>
        <w:t>.0%；较上年支出数减少</w:t>
      </w:r>
      <w:r>
        <w:rPr>
          <w:rFonts w:ascii="方正仿宋_GBK" w:eastAsia="方正仿宋_GBK"/>
          <w:sz w:val="32"/>
          <w:szCs w:val="32"/>
        </w:rPr>
        <w:t>0.2</w:t>
      </w:r>
      <w:r>
        <w:rPr>
          <w:rFonts w:hint="eastAsia" w:ascii="方正仿宋_GBK" w:eastAsia="方正仿宋_GBK"/>
          <w:sz w:val="32"/>
          <w:szCs w:val="32"/>
        </w:rPr>
        <w:t xml:space="preserve">万元，下降 </w:t>
      </w:r>
      <w:r>
        <w:rPr>
          <w:rFonts w:ascii="方正仿宋_GBK" w:eastAsia="方正仿宋_GBK"/>
          <w:sz w:val="32"/>
          <w:szCs w:val="32"/>
        </w:rPr>
        <w:t>100.0</w:t>
      </w:r>
      <w:r>
        <w:rPr>
          <w:rFonts w:hint="eastAsia" w:ascii="方正仿宋_GBK" w:eastAsia="方正仿宋_GBK"/>
          <w:sz w:val="32"/>
          <w:szCs w:val="32"/>
        </w:rPr>
        <w:t>%。较年初预算和上年决算下降的主要原因是强化公务接待支出管理，严格遵守公务接待开支范围和开支标准，2020年未安排公务接待。</w:t>
      </w:r>
    </w:p>
    <w:p w14:paraId="557842A0">
      <w:pPr>
        <w:pStyle w:val="6"/>
        <w:shd w:val="clear" w:color="auto" w:fill="FFFFFF"/>
        <w:spacing w:before="0" w:beforeAutospacing="0" w:after="0" w:afterAutospacing="0" w:line="560" w:lineRule="exact"/>
        <w:ind w:firstLine="643" w:firstLineChars="200"/>
        <w:jc w:val="both"/>
        <w:outlineLvl w:val="1"/>
        <w:rPr>
          <w:rFonts w:ascii="楷体" w:hAnsi="楷体" w:eastAsia="楷体"/>
          <w:sz w:val="32"/>
          <w:szCs w:val="32"/>
        </w:rPr>
      </w:pPr>
      <w:r>
        <w:rPr>
          <w:rStyle w:val="9"/>
          <w:rFonts w:hint="eastAsia" w:ascii="楷体" w:hAnsi="楷体" w:eastAsia="楷体"/>
          <w:sz w:val="32"/>
          <w:szCs w:val="32"/>
        </w:rPr>
        <w:t>（三）“三公”经费实物量情况。</w:t>
      </w:r>
    </w:p>
    <w:p w14:paraId="33EA6C97">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2020年度本部门因公出国（境）共计0个团组，0人；公务用车购置0辆，公务车保有量为5辆；国内公务接待</w:t>
      </w:r>
      <w:r>
        <w:rPr>
          <w:rFonts w:ascii="方正仿宋_GBK" w:eastAsia="方正仿宋_GBK"/>
          <w:sz w:val="32"/>
          <w:szCs w:val="32"/>
        </w:rPr>
        <w:t>0</w:t>
      </w:r>
      <w:r>
        <w:rPr>
          <w:rFonts w:hint="eastAsia" w:ascii="方正仿宋_GBK" w:eastAsia="方正仿宋_GBK"/>
          <w:sz w:val="32"/>
          <w:szCs w:val="32"/>
        </w:rPr>
        <w:t>批次</w:t>
      </w:r>
      <w:r>
        <w:rPr>
          <w:rFonts w:ascii="方正仿宋_GBK" w:eastAsia="方正仿宋_GBK"/>
          <w:sz w:val="32"/>
          <w:szCs w:val="32"/>
        </w:rPr>
        <w:t>0</w:t>
      </w:r>
      <w:r>
        <w:rPr>
          <w:rFonts w:hint="eastAsia" w:ascii="方正仿宋_GBK" w:eastAsia="方正仿宋_GBK"/>
          <w:sz w:val="32"/>
          <w:szCs w:val="32"/>
        </w:rPr>
        <w:t>人，其中：国内外事接待0批次，0人；国（境）外公务接待0批次，0人。2020年本部门人均接待费</w:t>
      </w:r>
      <w:r>
        <w:rPr>
          <w:rFonts w:ascii="方正仿宋_GBK" w:eastAsia="方正仿宋_GBK"/>
          <w:sz w:val="32"/>
          <w:szCs w:val="32"/>
        </w:rPr>
        <w:t>0</w:t>
      </w:r>
      <w:r>
        <w:rPr>
          <w:rFonts w:hint="eastAsia" w:ascii="方正仿宋_GBK" w:eastAsia="方正仿宋_GBK"/>
          <w:sz w:val="32"/>
          <w:szCs w:val="32"/>
        </w:rPr>
        <w:t>元，车均购置费0万元，车均维护费</w:t>
      </w:r>
      <w:r>
        <w:rPr>
          <w:rFonts w:ascii="方正仿宋_GBK" w:eastAsia="方正仿宋_GBK"/>
          <w:sz w:val="32"/>
          <w:szCs w:val="32"/>
        </w:rPr>
        <w:t>3.01</w:t>
      </w:r>
      <w:r>
        <w:rPr>
          <w:rFonts w:hint="eastAsia" w:ascii="方正仿宋_GBK" w:eastAsia="方正仿宋_GBK"/>
          <w:sz w:val="32"/>
          <w:szCs w:val="32"/>
        </w:rPr>
        <w:t>万元。</w:t>
      </w:r>
    </w:p>
    <w:p w14:paraId="4C5CFD3D">
      <w:pPr>
        <w:pStyle w:val="6"/>
        <w:shd w:val="clear" w:color="auto" w:fill="FFFFFF"/>
        <w:spacing w:before="0" w:beforeAutospacing="0" w:after="0" w:afterAutospacing="0" w:line="560" w:lineRule="exact"/>
        <w:ind w:firstLine="640" w:firstLineChars="200"/>
        <w:jc w:val="both"/>
        <w:outlineLvl w:val="0"/>
        <w:rPr>
          <w:rStyle w:val="9"/>
        </w:rPr>
      </w:pPr>
      <w:r>
        <w:rPr>
          <w:rStyle w:val="9"/>
          <w:rFonts w:hint="eastAsia" w:ascii="方正黑体_GBK" w:eastAsia="方正黑体_GBK"/>
          <w:b w:val="0"/>
          <w:sz w:val="32"/>
          <w:szCs w:val="32"/>
        </w:rPr>
        <w:t>四、其他需要说明的事项</w:t>
      </w:r>
    </w:p>
    <w:p w14:paraId="349F9C93">
      <w:pPr>
        <w:pStyle w:val="6"/>
        <w:widowControl w:val="0"/>
        <w:shd w:val="clear" w:color="auto" w:fill="FFFFFF"/>
        <w:spacing w:before="0" w:beforeAutospacing="0" w:after="0" w:afterAutospacing="0" w:line="560" w:lineRule="exact"/>
        <w:ind w:firstLine="643" w:firstLineChars="200"/>
        <w:jc w:val="both"/>
        <w:rPr>
          <w:rStyle w:val="9"/>
          <w:rFonts w:ascii="楷体" w:hAnsi="楷体" w:eastAsia="楷体"/>
          <w:sz w:val="32"/>
          <w:szCs w:val="32"/>
        </w:rPr>
      </w:pPr>
      <w:r>
        <w:rPr>
          <w:rStyle w:val="9"/>
          <w:rFonts w:hint="eastAsia" w:ascii="楷体" w:hAnsi="楷体" w:eastAsia="楷体"/>
          <w:sz w:val="32"/>
          <w:szCs w:val="32"/>
        </w:rPr>
        <w:t>（一）机关运行经费情况说明</w:t>
      </w:r>
    </w:p>
    <w:p w14:paraId="2D55E741">
      <w:pPr>
        <w:pStyle w:val="6"/>
        <w:widowControl w:val="0"/>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2020年度本部门机关运行经费支出</w:t>
      </w:r>
      <w:r>
        <w:rPr>
          <w:rFonts w:ascii="方正仿宋_GBK" w:eastAsia="方正仿宋_GBK"/>
          <w:sz w:val="32"/>
          <w:szCs w:val="32"/>
        </w:rPr>
        <w:t>324.8</w:t>
      </w:r>
      <w:r>
        <w:rPr>
          <w:rFonts w:hint="eastAsia" w:ascii="方正仿宋_GBK" w:eastAsia="方正仿宋_GBK"/>
          <w:sz w:val="32"/>
          <w:szCs w:val="32"/>
        </w:rPr>
        <w:t>万元，机关运行经费主要用于开支办公费、水电费、邮电费、公务车运行维护费、差旅费等。机关运行经费较上年决算数增加</w:t>
      </w:r>
      <w:r>
        <w:rPr>
          <w:rFonts w:ascii="方正仿宋_GBK" w:eastAsia="方正仿宋_GBK"/>
          <w:sz w:val="32"/>
          <w:szCs w:val="32"/>
        </w:rPr>
        <w:t>62.57</w:t>
      </w:r>
      <w:r>
        <w:rPr>
          <w:rFonts w:hint="eastAsia" w:ascii="方正仿宋_GBK" w:eastAsia="方正仿宋_GBK"/>
          <w:sz w:val="32"/>
          <w:szCs w:val="32"/>
        </w:rPr>
        <w:t>万元，增长</w:t>
      </w:r>
      <w:r>
        <w:rPr>
          <w:rFonts w:ascii="方正仿宋_GBK" w:eastAsia="方正仿宋_GBK"/>
          <w:sz w:val="32"/>
          <w:szCs w:val="32"/>
        </w:rPr>
        <w:t>23.9</w:t>
      </w:r>
      <w:r>
        <w:rPr>
          <w:rFonts w:hint="eastAsia" w:ascii="方正仿宋_GBK" w:eastAsia="方正仿宋_GBK"/>
          <w:sz w:val="32"/>
          <w:szCs w:val="32"/>
        </w:rPr>
        <w:t>%，主要原因：一是在编人员净增加</w:t>
      </w:r>
      <w:r>
        <w:rPr>
          <w:rFonts w:ascii="方正仿宋_GBK" w:eastAsia="方正仿宋_GBK"/>
          <w:sz w:val="32"/>
          <w:szCs w:val="32"/>
        </w:rPr>
        <w:t>6</w:t>
      </w:r>
      <w:r>
        <w:rPr>
          <w:rFonts w:hint="eastAsia" w:ascii="方正仿宋_GBK" w:eastAsia="方正仿宋_GBK"/>
          <w:sz w:val="32"/>
          <w:szCs w:val="32"/>
        </w:rPr>
        <w:t>人，公用经费支出相应增加；二是部分商品价格上涨。</w:t>
      </w:r>
    </w:p>
    <w:p w14:paraId="3BF62808">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其中：本年度会议费支出</w:t>
      </w:r>
      <w:r>
        <w:rPr>
          <w:rFonts w:ascii="方正仿宋_GBK" w:eastAsia="方正仿宋_GBK"/>
          <w:sz w:val="32"/>
          <w:szCs w:val="32"/>
        </w:rPr>
        <w:t>0</w:t>
      </w:r>
      <w:r>
        <w:rPr>
          <w:rFonts w:hint="eastAsia" w:ascii="方正仿宋_GBK" w:eastAsia="方正仿宋_GBK"/>
          <w:sz w:val="32"/>
          <w:szCs w:val="32"/>
        </w:rPr>
        <w:t>万元，较上年决算数无变化。本年度培训费支出</w:t>
      </w:r>
      <w:r>
        <w:rPr>
          <w:rFonts w:ascii="方正仿宋_GBK" w:eastAsia="方正仿宋_GBK"/>
          <w:sz w:val="32"/>
          <w:szCs w:val="32"/>
        </w:rPr>
        <w:t>4.5</w:t>
      </w:r>
      <w:r>
        <w:rPr>
          <w:rFonts w:hint="eastAsia" w:ascii="方正仿宋_GBK" w:eastAsia="方正仿宋_GBK"/>
          <w:sz w:val="32"/>
          <w:szCs w:val="32"/>
        </w:rPr>
        <w:t xml:space="preserve">万元，较上年决算数减少 </w:t>
      </w:r>
      <w:r>
        <w:rPr>
          <w:rFonts w:ascii="方正仿宋_GBK" w:eastAsia="方正仿宋_GBK"/>
          <w:sz w:val="32"/>
          <w:szCs w:val="32"/>
        </w:rPr>
        <w:t>0.1</w:t>
      </w:r>
      <w:r>
        <w:rPr>
          <w:rFonts w:hint="eastAsia" w:ascii="方正仿宋_GBK" w:eastAsia="方正仿宋_GBK"/>
          <w:sz w:val="32"/>
          <w:szCs w:val="32"/>
        </w:rPr>
        <w:t>万元，减少</w:t>
      </w:r>
      <w:r>
        <w:rPr>
          <w:rFonts w:ascii="方正仿宋_GBK" w:eastAsia="方正仿宋_GBK"/>
          <w:sz w:val="32"/>
          <w:szCs w:val="32"/>
        </w:rPr>
        <w:t>1</w:t>
      </w:r>
      <w:r>
        <w:rPr>
          <w:rFonts w:hint="eastAsia" w:ascii="方正仿宋_GBK" w:eastAsia="方正仿宋_GBK"/>
          <w:sz w:val="32"/>
          <w:szCs w:val="32"/>
        </w:rPr>
        <w:t>.8%，主要原因是根据新冠疫情防控要求，参加相关培训人次大幅下降。</w:t>
      </w:r>
    </w:p>
    <w:p w14:paraId="099E3443">
      <w:pPr>
        <w:widowControl w:val="0"/>
        <w:spacing w:line="560" w:lineRule="exact"/>
        <w:ind w:firstLine="643" w:firstLineChars="200"/>
        <w:jc w:val="both"/>
        <w:rPr>
          <w:rStyle w:val="9"/>
          <w:rFonts w:ascii="楷体" w:hAnsi="楷体" w:eastAsia="楷体"/>
          <w:sz w:val="32"/>
          <w:szCs w:val="32"/>
        </w:rPr>
      </w:pPr>
      <w:r>
        <w:rPr>
          <w:rStyle w:val="9"/>
          <w:rFonts w:hint="eastAsia" w:ascii="楷体" w:hAnsi="楷体" w:eastAsia="楷体"/>
          <w:sz w:val="32"/>
          <w:szCs w:val="32"/>
        </w:rPr>
        <w:t>（二）国有资产占用情况说明</w:t>
      </w:r>
    </w:p>
    <w:p w14:paraId="27BC0BEF">
      <w:pPr>
        <w:widowControl w:val="0"/>
        <w:spacing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截至2020年12月31日，本部门共有车辆5辆，其中，副部（省）级及以上领导用车0辆、主要领导干部用车0辆、机要通信用车0辆、应急保障用车5辆、执法执勤用车0辆，特种专业技术用车0辆，离退休干部用车0辆，其他用车0辆。单价50万元（含）以上通用设备0台（套），单价100万元（含）以上专用设备0台（套）。</w:t>
      </w:r>
    </w:p>
    <w:p w14:paraId="028D094E">
      <w:pPr>
        <w:pStyle w:val="6"/>
        <w:shd w:val="clear" w:color="auto" w:fill="FFFFFF"/>
        <w:spacing w:before="0" w:beforeAutospacing="0" w:after="0" w:afterAutospacing="0" w:line="560" w:lineRule="exact"/>
        <w:ind w:firstLine="643" w:firstLineChars="200"/>
        <w:jc w:val="both"/>
        <w:rPr>
          <w:rStyle w:val="9"/>
          <w:rFonts w:ascii="楷体" w:hAnsi="楷体" w:eastAsia="楷体"/>
          <w:sz w:val="32"/>
          <w:szCs w:val="32"/>
        </w:rPr>
      </w:pPr>
      <w:r>
        <w:rPr>
          <w:rStyle w:val="9"/>
          <w:rFonts w:hint="eastAsia" w:ascii="楷体" w:hAnsi="楷体" w:eastAsia="楷体"/>
          <w:sz w:val="32"/>
          <w:szCs w:val="32"/>
        </w:rPr>
        <w:t>（三）政府采购支出情况说明</w:t>
      </w:r>
    </w:p>
    <w:p w14:paraId="4EC778A0">
      <w:pPr>
        <w:pStyle w:val="6"/>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2020年度本部门政府采购支出总额</w:t>
      </w:r>
      <w:r>
        <w:rPr>
          <w:rFonts w:ascii="方正仿宋_GBK" w:eastAsia="方正仿宋_GBK"/>
          <w:sz w:val="32"/>
          <w:szCs w:val="32"/>
        </w:rPr>
        <w:t>257.9</w:t>
      </w:r>
      <w:r>
        <w:rPr>
          <w:rFonts w:hint="eastAsia" w:ascii="方正仿宋_GBK" w:eastAsia="方正仿宋_GBK"/>
          <w:sz w:val="32"/>
          <w:szCs w:val="32"/>
        </w:rPr>
        <w:t>万元，其中：政府采购货物支出</w:t>
      </w:r>
      <w:r>
        <w:rPr>
          <w:rFonts w:ascii="方正仿宋_GBK" w:eastAsia="方正仿宋_GBK"/>
          <w:sz w:val="32"/>
          <w:szCs w:val="32"/>
        </w:rPr>
        <w:t>36.6</w:t>
      </w:r>
      <w:r>
        <w:rPr>
          <w:rFonts w:hint="eastAsia" w:ascii="方正仿宋_GBK" w:eastAsia="方正仿宋_GBK"/>
          <w:sz w:val="32"/>
          <w:szCs w:val="32"/>
        </w:rPr>
        <w:t>万元、政府采购工程支出</w:t>
      </w:r>
      <w:r>
        <w:rPr>
          <w:rFonts w:ascii="方正仿宋_GBK" w:eastAsia="方正仿宋_GBK"/>
          <w:sz w:val="32"/>
          <w:szCs w:val="32"/>
        </w:rPr>
        <w:t>52.3</w:t>
      </w:r>
      <w:r>
        <w:rPr>
          <w:rFonts w:hint="eastAsia" w:ascii="方正仿宋_GBK" w:eastAsia="方正仿宋_GBK"/>
          <w:sz w:val="32"/>
          <w:szCs w:val="32"/>
        </w:rPr>
        <w:t>万元、政府采购服务支出</w:t>
      </w:r>
      <w:r>
        <w:rPr>
          <w:rFonts w:ascii="方正仿宋_GBK" w:eastAsia="方正仿宋_GBK"/>
          <w:sz w:val="32"/>
          <w:szCs w:val="32"/>
        </w:rPr>
        <w:t>169</w:t>
      </w:r>
      <w:r>
        <w:rPr>
          <w:rFonts w:hint="eastAsia" w:ascii="方正仿宋_GBK" w:eastAsia="方正仿宋_GBK"/>
          <w:sz w:val="32"/>
          <w:szCs w:val="32"/>
        </w:rPr>
        <w:t>万元。授予中小企业合同金额</w:t>
      </w:r>
      <w:r>
        <w:rPr>
          <w:rFonts w:ascii="方正仿宋_GBK" w:eastAsia="方正仿宋_GBK"/>
          <w:sz w:val="32"/>
          <w:szCs w:val="32"/>
        </w:rPr>
        <w:t>177.9</w:t>
      </w:r>
      <w:r>
        <w:rPr>
          <w:rFonts w:hint="eastAsia" w:ascii="方正仿宋_GBK" w:eastAsia="方正仿宋_GBK"/>
          <w:sz w:val="32"/>
          <w:szCs w:val="32"/>
        </w:rPr>
        <w:t>万元，占政府采购支出总额的</w:t>
      </w:r>
      <w:r>
        <w:rPr>
          <w:rFonts w:ascii="方正仿宋_GBK" w:eastAsia="方正仿宋_GBK"/>
          <w:sz w:val="32"/>
          <w:szCs w:val="32"/>
        </w:rPr>
        <w:t>69.0</w:t>
      </w:r>
      <w:r>
        <w:rPr>
          <w:rFonts w:hint="eastAsia" w:ascii="方正仿宋_GBK" w:eastAsia="方正仿宋_GBK"/>
          <w:sz w:val="32"/>
          <w:szCs w:val="32"/>
        </w:rPr>
        <w:t>%，其中：授予小微企业合同金额</w:t>
      </w:r>
      <w:r>
        <w:rPr>
          <w:rFonts w:ascii="方正仿宋_GBK" w:eastAsia="方正仿宋_GBK"/>
          <w:sz w:val="32"/>
          <w:szCs w:val="32"/>
        </w:rPr>
        <w:t>177.9</w:t>
      </w:r>
      <w:r>
        <w:rPr>
          <w:rFonts w:hint="eastAsia" w:ascii="方正仿宋_GBK" w:eastAsia="方正仿宋_GBK"/>
          <w:sz w:val="32"/>
          <w:szCs w:val="32"/>
        </w:rPr>
        <w:t>万元，占政府采购支出总额的</w:t>
      </w:r>
      <w:r>
        <w:rPr>
          <w:rFonts w:ascii="方正仿宋_GBK" w:eastAsia="方正仿宋_GBK"/>
          <w:sz w:val="32"/>
          <w:szCs w:val="32"/>
        </w:rPr>
        <w:t>69.0</w:t>
      </w:r>
      <w:r>
        <w:rPr>
          <w:rFonts w:hint="eastAsia" w:ascii="方正仿宋_GBK" w:eastAsia="方正仿宋_GBK"/>
          <w:sz w:val="32"/>
          <w:szCs w:val="32"/>
        </w:rPr>
        <w:t>%。主要用于采购机关食堂食材配送服务等。</w:t>
      </w:r>
    </w:p>
    <w:p w14:paraId="7B98BBB6">
      <w:pPr>
        <w:pStyle w:val="6"/>
        <w:shd w:val="clear" w:color="auto" w:fill="FFFFFF"/>
        <w:spacing w:before="0" w:beforeAutospacing="0" w:after="0" w:afterAutospacing="0" w:line="560" w:lineRule="exact"/>
        <w:ind w:firstLine="640" w:firstLineChars="200"/>
        <w:jc w:val="both"/>
        <w:outlineLvl w:val="0"/>
        <w:rPr>
          <w:rStyle w:val="9"/>
          <w:rFonts w:ascii="方正黑体_GBK" w:eastAsia="方正黑体_GBK"/>
          <w:b w:val="0"/>
        </w:rPr>
      </w:pPr>
      <w:r>
        <w:rPr>
          <w:rStyle w:val="9"/>
          <w:rFonts w:hint="eastAsia" w:ascii="方正黑体_GBK" w:eastAsia="方正黑体_GBK"/>
          <w:b w:val="0"/>
          <w:sz w:val="32"/>
          <w:szCs w:val="32"/>
        </w:rPr>
        <w:t>五、预算绩效管理情况说明</w:t>
      </w:r>
    </w:p>
    <w:p w14:paraId="0F3040B9">
      <w:pPr>
        <w:pStyle w:val="6"/>
        <w:shd w:val="clear" w:color="auto" w:fill="FFFFFF"/>
        <w:spacing w:before="0" w:beforeAutospacing="0" w:after="0" w:afterAutospacing="0" w:line="560" w:lineRule="exact"/>
        <w:ind w:firstLine="643" w:firstLineChars="200"/>
        <w:jc w:val="both"/>
        <w:rPr>
          <w:rStyle w:val="9"/>
          <w:rFonts w:ascii="楷体" w:hAnsi="楷体" w:eastAsia="楷体"/>
          <w:sz w:val="32"/>
          <w:szCs w:val="32"/>
        </w:rPr>
      </w:pPr>
      <w:r>
        <w:rPr>
          <w:rStyle w:val="9"/>
          <w:rFonts w:hint="eastAsia" w:ascii="楷体" w:hAnsi="楷体" w:eastAsia="楷体"/>
          <w:sz w:val="32"/>
          <w:szCs w:val="32"/>
        </w:rPr>
        <w:t>（一）预算绩效管理工作开展情况</w:t>
      </w:r>
    </w:p>
    <w:p w14:paraId="1AA87EF8">
      <w:pPr>
        <w:ind w:firstLine="640"/>
        <w:rPr>
          <w:rFonts w:ascii="方正仿宋_GBK" w:eastAsia="方正仿宋_GBK"/>
          <w:sz w:val="32"/>
          <w:szCs w:val="32"/>
        </w:rPr>
      </w:pPr>
      <w:r>
        <w:rPr>
          <w:rFonts w:hint="eastAsia" w:ascii="方正仿宋_GBK" w:eastAsia="方正仿宋_GBK"/>
          <w:sz w:val="32"/>
          <w:szCs w:val="32"/>
        </w:rPr>
        <w:t>根据预算绩效管理要求，本部门对</w:t>
      </w:r>
      <w:r>
        <w:rPr>
          <w:rFonts w:ascii="方正仿宋_GBK" w:eastAsia="方正仿宋_GBK"/>
          <w:sz w:val="32"/>
          <w:szCs w:val="32"/>
        </w:rPr>
        <w:t>26</w:t>
      </w:r>
      <w:r>
        <w:rPr>
          <w:rFonts w:hint="eastAsia" w:ascii="方正仿宋_GBK" w:eastAsia="方正仿宋_GBK"/>
          <w:sz w:val="32"/>
          <w:szCs w:val="32"/>
        </w:rPr>
        <w:t>个项目开展了绩效自评，其中以填报目标自评表形式开展自评</w:t>
      </w:r>
      <w:r>
        <w:rPr>
          <w:rFonts w:ascii="方正仿宋_GBK" w:eastAsia="方正仿宋_GBK"/>
          <w:sz w:val="32"/>
          <w:szCs w:val="32"/>
        </w:rPr>
        <w:t>26</w:t>
      </w:r>
      <w:r>
        <w:rPr>
          <w:rFonts w:hint="eastAsia" w:ascii="方正仿宋_GBK" w:eastAsia="方正仿宋_GBK"/>
          <w:sz w:val="32"/>
          <w:szCs w:val="32"/>
        </w:rPr>
        <w:t>项，涉及资金</w:t>
      </w:r>
      <w:r>
        <w:rPr>
          <w:rFonts w:ascii="方正仿宋_GBK" w:eastAsia="方正仿宋_GBK"/>
          <w:sz w:val="32"/>
          <w:szCs w:val="32"/>
        </w:rPr>
        <w:t>4170.98</w:t>
      </w:r>
      <w:r>
        <w:rPr>
          <w:rFonts w:hint="eastAsia" w:ascii="方正仿宋_GBK" w:eastAsia="方正仿宋_GBK"/>
          <w:sz w:val="32"/>
          <w:szCs w:val="32"/>
        </w:rPr>
        <w:t>万元；以委托第三方形式开展绩效自评0项，涉及资金0万元。从评价情况来看，各个项目支出均按照相关立项依据立项，项目支出专款专用，按项目实施进度计划执行，均完成项目当年绩效目标。</w:t>
      </w:r>
    </w:p>
    <w:p w14:paraId="294596C6">
      <w:pPr>
        <w:pStyle w:val="13"/>
        <w:tabs>
          <w:tab w:val="center" w:pos="4153"/>
          <w:tab w:val="left" w:pos="7275"/>
        </w:tabs>
        <w:spacing w:line="560" w:lineRule="exact"/>
        <w:ind w:firstLine="643"/>
        <w:rPr>
          <w:rFonts w:ascii="楷体" w:hAnsi="楷体" w:eastAsia="楷体" w:cs="宋体"/>
          <w:b/>
          <w:kern w:val="0"/>
          <w:sz w:val="32"/>
          <w:szCs w:val="32"/>
        </w:rPr>
      </w:pPr>
      <w:r>
        <w:rPr>
          <w:rFonts w:hint="eastAsia" w:ascii="楷体" w:hAnsi="楷体" w:eastAsia="楷体" w:cs="宋体"/>
          <w:b/>
          <w:kern w:val="0"/>
          <w:sz w:val="32"/>
          <w:szCs w:val="32"/>
        </w:rPr>
        <w:t>（二）绩效自评结果</w:t>
      </w:r>
    </w:p>
    <w:p w14:paraId="35E56DD9">
      <w:pPr>
        <w:autoSpaceDN w:val="0"/>
        <w:spacing w:line="594" w:lineRule="exact"/>
        <w:ind w:firstLine="630" w:firstLineChars="196"/>
        <w:rPr>
          <w:rFonts w:ascii="楷体" w:hAnsi="楷体" w:eastAsia="楷体"/>
          <w:b/>
          <w:bCs/>
          <w:color w:val="FF0000"/>
          <w:sz w:val="32"/>
          <w:szCs w:val="32"/>
        </w:rPr>
      </w:pPr>
      <w:r>
        <w:rPr>
          <w:rFonts w:hint="eastAsia" w:ascii="楷体" w:hAnsi="楷体" w:eastAsia="楷体"/>
          <w:b/>
          <w:sz w:val="32"/>
          <w:szCs w:val="32"/>
        </w:rPr>
        <w:t>1.绩效自评表</w:t>
      </w:r>
    </w:p>
    <w:tbl>
      <w:tblPr>
        <w:tblStyle w:val="7"/>
        <w:tblW w:w="9215" w:type="dxa"/>
        <w:tblInd w:w="-318" w:type="dxa"/>
        <w:tblLayout w:type="fixed"/>
        <w:tblCellMar>
          <w:top w:w="0" w:type="dxa"/>
          <w:left w:w="108" w:type="dxa"/>
          <w:bottom w:w="0" w:type="dxa"/>
          <w:right w:w="108" w:type="dxa"/>
        </w:tblCellMar>
      </w:tblPr>
      <w:tblGrid>
        <w:gridCol w:w="1002"/>
        <w:gridCol w:w="984"/>
        <w:gridCol w:w="425"/>
        <w:gridCol w:w="425"/>
        <w:gridCol w:w="284"/>
        <w:gridCol w:w="141"/>
        <w:gridCol w:w="284"/>
        <w:gridCol w:w="283"/>
        <w:gridCol w:w="426"/>
        <w:gridCol w:w="708"/>
        <w:gridCol w:w="851"/>
        <w:gridCol w:w="850"/>
        <w:gridCol w:w="851"/>
        <w:gridCol w:w="850"/>
        <w:gridCol w:w="851"/>
      </w:tblGrid>
      <w:tr w14:paraId="1989D966">
        <w:tblPrEx>
          <w:tblCellMar>
            <w:top w:w="0" w:type="dxa"/>
            <w:left w:w="108" w:type="dxa"/>
            <w:bottom w:w="0" w:type="dxa"/>
            <w:right w:w="108" w:type="dxa"/>
          </w:tblCellMar>
        </w:tblPrEx>
        <w:trPr>
          <w:trHeight w:val="601" w:hRule="atLeast"/>
        </w:trPr>
        <w:tc>
          <w:tcPr>
            <w:tcW w:w="9215" w:type="dxa"/>
            <w:gridSpan w:val="15"/>
            <w:tcBorders>
              <w:top w:val="nil"/>
              <w:left w:val="nil"/>
              <w:bottom w:val="nil"/>
              <w:right w:val="nil"/>
            </w:tcBorders>
            <w:shd w:val="clear" w:color="auto" w:fill="auto"/>
            <w:vAlign w:val="center"/>
          </w:tcPr>
          <w:p w14:paraId="7DC8F52F">
            <w:pPr>
              <w:autoSpaceDN w:val="0"/>
              <w:ind w:firstLine="1800" w:firstLineChars="500"/>
              <w:jc w:val="both"/>
              <w:rPr>
                <w:rFonts w:ascii="方正小标宋_GBK" w:hAnsi="Calibri" w:eastAsia="方正小标宋_GBK"/>
                <w:color w:val="000000"/>
                <w:sz w:val="36"/>
                <w:szCs w:val="36"/>
              </w:rPr>
            </w:pPr>
            <w:r>
              <w:rPr>
                <w:rFonts w:ascii="方正小标宋_GBK" w:eastAsia="方正小标宋_GBK"/>
                <w:color w:val="000000"/>
                <w:sz w:val="36"/>
                <w:szCs w:val="36"/>
              </w:rPr>
              <w:t>2020年预算项目绩效目标自评表</w:t>
            </w:r>
          </w:p>
        </w:tc>
      </w:tr>
      <w:tr w14:paraId="3B7B3927">
        <w:tblPrEx>
          <w:tblCellMar>
            <w:top w:w="0" w:type="dxa"/>
            <w:left w:w="108" w:type="dxa"/>
            <w:bottom w:w="0" w:type="dxa"/>
            <w:right w:w="108" w:type="dxa"/>
          </w:tblCellMar>
        </w:tblPrEx>
        <w:trPr>
          <w:trHeight w:val="601"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14:paraId="30860E8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项目名称</w:t>
            </w:r>
          </w:p>
        </w:tc>
        <w:tc>
          <w:tcPr>
            <w:tcW w:w="2118" w:type="dxa"/>
            <w:gridSpan w:val="4"/>
            <w:tcBorders>
              <w:top w:val="single" w:color="auto" w:sz="4" w:space="0"/>
              <w:left w:val="nil"/>
              <w:bottom w:val="single" w:color="auto" w:sz="4" w:space="0"/>
              <w:right w:val="single" w:color="000000" w:sz="4" w:space="0"/>
            </w:tcBorders>
            <w:shd w:val="clear" w:color="auto" w:fill="auto"/>
            <w:vAlign w:val="center"/>
          </w:tcPr>
          <w:p w14:paraId="6BE7006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城市维护清扫保洁环卫绿化专项　</w:t>
            </w:r>
          </w:p>
        </w:tc>
        <w:tc>
          <w:tcPr>
            <w:tcW w:w="708" w:type="dxa"/>
            <w:gridSpan w:val="3"/>
            <w:tcBorders>
              <w:top w:val="single" w:color="auto" w:sz="4" w:space="0"/>
              <w:left w:val="nil"/>
              <w:bottom w:val="single" w:color="auto" w:sz="4" w:space="0"/>
              <w:right w:val="single" w:color="auto" w:sz="4" w:space="0"/>
            </w:tcBorders>
            <w:shd w:val="clear" w:color="auto" w:fill="auto"/>
            <w:vAlign w:val="center"/>
          </w:tcPr>
          <w:p w14:paraId="3274493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项目编码</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14:paraId="229A16B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2020B1012　</w:t>
            </w:r>
          </w:p>
        </w:tc>
        <w:tc>
          <w:tcPr>
            <w:tcW w:w="851" w:type="dxa"/>
            <w:tcBorders>
              <w:top w:val="single" w:color="auto" w:sz="4" w:space="0"/>
              <w:left w:val="nil"/>
              <w:bottom w:val="single" w:color="auto" w:sz="4" w:space="0"/>
              <w:right w:val="single" w:color="auto" w:sz="4" w:space="0"/>
            </w:tcBorders>
            <w:shd w:val="clear" w:color="auto" w:fill="auto"/>
            <w:vAlign w:val="center"/>
          </w:tcPr>
          <w:p w14:paraId="6DCDE4B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自评总分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3402" w:type="dxa"/>
            <w:gridSpan w:val="4"/>
            <w:tcBorders>
              <w:top w:val="single" w:color="auto" w:sz="4" w:space="0"/>
              <w:left w:val="nil"/>
              <w:bottom w:val="single" w:color="auto" w:sz="4" w:space="0"/>
              <w:right w:val="single" w:color="000000" w:sz="4" w:space="0"/>
            </w:tcBorders>
            <w:shd w:val="clear" w:color="auto" w:fill="auto"/>
            <w:vAlign w:val="center"/>
          </w:tcPr>
          <w:p w14:paraId="593E6D6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r>
      <w:tr w14:paraId="45BBB708">
        <w:tblPrEx>
          <w:tblCellMar>
            <w:top w:w="0" w:type="dxa"/>
            <w:left w:w="108" w:type="dxa"/>
            <w:bottom w:w="0" w:type="dxa"/>
            <w:right w:w="108" w:type="dxa"/>
          </w:tblCellMar>
        </w:tblPrEx>
        <w:trPr>
          <w:trHeight w:val="601" w:hRule="atLeast"/>
        </w:trPr>
        <w:tc>
          <w:tcPr>
            <w:tcW w:w="1002" w:type="dxa"/>
            <w:tcBorders>
              <w:top w:val="nil"/>
              <w:left w:val="single" w:color="auto" w:sz="4" w:space="0"/>
              <w:bottom w:val="single" w:color="auto" w:sz="4" w:space="0"/>
              <w:right w:val="single" w:color="auto" w:sz="4" w:space="0"/>
            </w:tcBorders>
            <w:shd w:val="clear" w:color="auto" w:fill="auto"/>
            <w:vAlign w:val="center"/>
          </w:tcPr>
          <w:p w14:paraId="30E0CE8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主管部门</w:t>
            </w:r>
          </w:p>
        </w:tc>
        <w:tc>
          <w:tcPr>
            <w:tcW w:w="2118" w:type="dxa"/>
            <w:gridSpan w:val="4"/>
            <w:tcBorders>
              <w:top w:val="single" w:color="auto" w:sz="4" w:space="0"/>
              <w:left w:val="nil"/>
              <w:bottom w:val="single" w:color="auto" w:sz="4" w:space="0"/>
              <w:right w:val="single" w:color="000000" w:sz="4" w:space="0"/>
            </w:tcBorders>
            <w:shd w:val="clear" w:color="auto" w:fill="auto"/>
            <w:vAlign w:val="center"/>
          </w:tcPr>
          <w:p w14:paraId="3E56DD4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重庆市南岸区人民政府铜元局街道办事处(机关)</w:t>
            </w:r>
          </w:p>
        </w:tc>
        <w:tc>
          <w:tcPr>
            <w:tcW w:w="708" w:type="dxa"/>
            <w:gridSpan w:val="3"/>
            <w:tcBorders>
              <w:top w:val="nil"/>
              <w:left w:val="nil"/>
              <w:bottom w:val="single" w:color="auto" w:sz="4" w:space="0"/>
              <w:right w:val="single" w:color="auto" w:sz="4" w:space="0"/>
            </w:tcBorders>
            <w:shd w:val="clear" w:color="auto" w:fill="auto"/>
            <w:vAlign w:val="center"/>
          </w:tcPr>
          <w:p w14:paraId="03475FB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财政处室</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14:paraId="47F9CC5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社保科　</w:t>
            </w:r>
          </w:p>
        </w:tc>
        <w:tc>
          <w:tcPr>
            <w:tcW w:w="851" w:type="dxa"/>
            <w:tcBorders>
              <w:top w:val="nil"/>
              <w:left w:val="nil"/>
              <w:bottom w:val="single" w:color="auto" w:sz="4" w:space="0"/>
              <w:right w:val="single" w:color="auto" w:sz="4" w:space="0"/>
            </w:tcBorders>
            <w:shd w:val="clear" w:color="auto" w:fill="auto"/>
            <w:vAlign w:val="center"/>
          </w:tcPr>
          <w:p w14:paraId="2162289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联系人</w:t>
            </w:r>
          </w:p>
        </w:tc>
        <w:tc>
          <w:tcPr>
            <w:tcW w:w="850" w:type="dxa"/>
            <w:tcBorders>
              <w:top w:val="nil"/>
              <w:left w:val="nil"/>
              <w:bottom w:val="single" w:color="auto" w:sz="4" w:space="0"/>
              <w:right w:val="single" w:color="auto" w:sz="4" w:space="0"/>
            </w:tcBorders>
            <w:shd w:val="clear" w:color="auto" w:fill="auto"/>
            <w:vAlign w:val="center"/>
          </w:tcPr>
          <w:p w14:paraId="0388EA4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tcBorders>
              <w:top w:val="nil"/>
              <w:left w:val="nil"/>
              <w:bottom w:val="single" w:color="auto" w:sz="4" w:space="0"/>
              <w:right w:val="single" w:color="auto" w:sz="4" w:space="0"/>
            </w:tcBorders>
            <w:shd w:val="clear" w:color="auto" w:fill="auto"/>
            <w:vAlign w:val="center"/>
          </w:tcPr>
          <w:p w14:paraId="756D1CF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联系电话</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14:paraId="28D32D4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023-62310032　</w:t>
            </w:r>
          </w:p>
        </w:tc>
      </w:tr>
      <w:tr w14:paraId="466444EC">
        <w:tblPrEx>
          <w:tblCellMar>
            <w:top w:w="0" w:type="dxa"/>
            <w:left w:w="108" w:type="dxa"/>
            <w:bottom w:w="0" w:type="dxa"/>
            <w:right w:w="108" w:type="dxa"/>
          </w:tblCellMar>
        </w:tblPrEx>
        <w:trPr>
          <w:cantSplit/>
          <w:trHeight w:val="601" w:hRule="atLeast"/>
        </w:trPr>
        <w:tc>
          <w:tcPr>
            <w:tcW w:w="1002" w:type="dxa"/>
            <w:vMerge w:val="restart"/>
            <w:tcBorders>
              <w:top w:val="nil"/>
              <w:left w:val="single" w:color="auto" w:sz="4" w:space="0"/>
              <w:bottom w:val="single" w:color="auto" w:sz="4" w:space="0"/>
              <w:right w:val="single" w:color="auto" w:sz="4" w:space="0"/>
            </w:tcBorders>
            <w:shd w:val="clear" w:color="auto" w:fill="auto"/>
            <w:vAlign w:val="center"/>
          </w:tcPr>
          <w:p w14:paraId="0BA48FF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项目资金（万元）</w:t>
            </w:r>
          </w:p>
        </w:tc>
        <w:tc>
          <w:tcPr>
            <w:tcW w:w="984" w:type="dxa"/>
            <w:tcBorders>
              <w:top w:val="nil"/>
              <w:left w:val="nil"/>
              <w:bottom w:val="single" w:color="auto" w:sz="4" w:space="0"/>
              <w:right w:val="nil"/>
            </w:tcBorders>
            <w:shd w:val="clear" w:color="auto" w:fill="auto"/>
            <w:vAlign w:val="center"/>
          </w:tcPr>
          <w:p w14:paraId="22E024A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842"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1F13704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年初预算数</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2C26DAA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全年（调整）预算数</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223F9AB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全年执行数</w:t>
            </w:r>
          </w:p>
        </w:tc>
        <w:tc>
          <w:tcPr>
            <w:tcW w:w="851" w:type="dxa"/>
            <w:tcBorders>
              <w:top w:val="nil"/>
              <w:left w:val="nil"/>
              <w:bottom w:val="single" w:color="auto" w:sz="4" w:space="0"/>
              <w:right w:val="single" w:color="auto" w:sz="4" w:space="0"/>
            </w:tcBorders>
            <w:shd w:val="clear" w:color="auto" w:fill="auto"/>
            <w:vAlign w:val="center"/>
          </w:tcPr>
          <w:p w14:paraId="56735BA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w:t>
            </w:r>
          </w:p>
        </w:tc>
        <w:tc>
          <w:tcPr>
            <w:tcW w:w="850" w:type="dxa"/>
            <w:tcBorders>
              <w:top w:val="nil"/>
              <w:left w:val="nil"/>
              <w:bottom w:val="single" w:color="auto" w:sz="4" w:space="0"/>
              <w:right w:val="single" w:color="auto" w:sz="4" w:space="0"/>
            </w:tcBorders>
            <w:shd w:val="clear" w:color="auto" w:fill="auto"/>
            <w:vAlign w:val="center"/>
          </w:tcPr>
          <w:p w14:paraId="19E5160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权重</w:t>
            </w:r>
          </w:p>
        </w:tc>
        <w:tc>
          <w:tcPr>
            <w:tcW w:w="851" w:type="dxa"/>
            <w:tcBorders>
              <w:top w:val="nil"/>
              <w:left w:val="nil"/>
              <w:bottom w:val="single" w:color="auto" w:sz="4" w:space="0"/>
              <w:right w:val="single" w:color="auto" w:sz="4" w:space="0"/>
            </w:tcBorders>
            <w:shd w:val="clear" w:color="auto" w:fill="auto"/>
            <w:vAlign w:val="center"/>
          </w:tcPr>
          <w:p w14:paraId="10F0584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执行率得分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r>
      <w:tr w14:paraId="73A79174">
        <w:tblPrEx>
          <w:tblCellMar>
            <w:top w:w="0" w:type="dxa"/>
            <w:left w:w="108" w:type="dxa"/>
            <w:bottom w:w="0" w:type="dxa"/>
            <w:right w:w="108" w:type="dxa"/>
          </w:tblCellMar>
        </w:tblPrEx>
        <w:trPr>
          <w:cantSplit/>
          <w:trHeight w:val="601" w:hRule="atLeast"/>
        </w:trPr>
        <w:tc>
          <w:tcPr>
            <w:tcW w:w="1002" w:type="dxa"/>
            <w:vMerge w:val="continue"/>
            <w:tcBorders>
              <w:top w:val="nil"/>
              <w:left w:val="single" w:color="auto" w:sz="4" w:space="0"/>
              <w:bottom w:val="single" w:color="auto" w:sz="4" w:space="0"/>
              <w:right w:val="single" w:color="auto" w:sz="4" w:space="0"/>
            </w:tcBorders>
            <w:vAlign w:val="center"/>
          </w:tcPr>
          <w:p w14:paraId="38755838">
            <w:pPr>
              <w:rPr>
                <w:rFonts w:ascii="方正仿宋_GBK" w:hAnsi="Calibri" w:eastAsia="方正仿宋_GBK"/>
                <w:color w:val="000000"/>
                <w:sz w:val="18"/>
                <w:szCs w:val="18"/>
              </w:rPr>
            </w:pPr>
          </w:p>
        </w:tc>
        <w:tc>
          <w:tcPr>
            <w:tcW w:w="984" w:type="dxa"/>
            <w:tcBorders>
              <w:top w:val="nil"/>
              <w:left w:val="nil"/>
              <w:bottom w:val="single" w:color="auto" w:sz="4" w:space="0"/>
              <w:right w:val="nil"/>
            </w:tcBorders>
            <w:shd w:val="clear" w:color="auto" w:fill="auto"/>
            <w:vAlign w:val="center"/>
          </w:tcPr>
          <w:p w14:paraId="76B0B8E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年度总金额</w:t>
            </w:r>
          </w:p>
        </w:tc>
        <w:tc>
          <w:tcPr>
            <w:tcW w:w="1842"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03AD97B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690.73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079E473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690.73</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2E99BEC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690.73</w:t>
            </w:r>
          </w:p>
        </w:tc>
        <w:tc>
          <w:tcPr>
            <w:tcW w:w="851" w:type="dxa"/>
            <w:tcBorders>
              <w:top w:val="nil"/>
              <w:left w:val="nil"/>
              <w:bottom w:val="single" w:color="auto" w:sz="4" w:space="0"/>
              <w:right w:val="single" w:color="auto" w:sz="4" w:space="0"/>
            </w:tcBorders>
            <w:shd w:val="clear" w:color="auto" w:fill="auto"/>
            <w:vAlign w:val="center"/>
          </w:tcPr>
          <w:p w14:paraId="3C4B10E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0F83D8C4">
            <w:pPr>
              <w:autoSpaceDN w:val="0"/>
              <w:jc w:val="center"/>
              <w:rPr>
                <w:rFonts w:ascii="方正仿宋_GBK" w:hAnsi="Calibri" w:eastAsia="方正仿宋_GBK"/>
                <w:sz w:val="18"/>
                <w:szCs w:val="18"/>
              </w:rPr>
            </w:pPr>
            <w:r>
              <w:rPr>
                <w:rFonts w:hint="eastAsia" w:ascii="方正仿宋_GBK" w:eastAsia="方正仿宋_GBK"/>
                <w:sz w:val="18"/>
                <w:szCs w:val="18"/>
              </w:rPr>
              <w:t>10　</w:t>
            </w:r>
          </w:p>
        </w:tc>
        <w:tc>
          <w:tcPr>
            <w:tcW w:w="851" w:type="dxa"/>
            <w:tcBorders>
              <w:top w:val="nil"/>
              <w:left w:val="nil"/>
              <w:bottom w:val="single" w:color="auto" w:sz="4" w:space="0"/>
              <w:right w:val="single" w:color="auto" w:sz="4" w:space="0"/>
            </w:tcBorders>
            <w:shd w:val="clear" w:color="auto" w:fill="auto"/>
            <w:vAlign w:val="center"/>
          </w:tcPr>
          <w:p w14:paraId="137EF52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　</w:t>
            </w:r>
          </w:p>
        </w:tc>
      </w:tr>
      <w:tr w14:paraId="0F7A128C">
        <w:tblPrEx>
          <w:tblCellMar>
            <w:top w:w="0" w:type="dxa"/>
            <w:left w:w="108" w:type="dxa"/>
            <w:bottom w:w="0" w:type="dxa"/>
            <w:right w:w="108" w:type="dxa"/>
          </w:tblCellMar>
        </w:tblPrEx>
        <w:trPr>
          <w:cantSplit/>
          <w:trHeight w:val="601" w:hRule="atLeast"/>
        </w:trPr>
        <w:tc>
          <w:tcPr>
            <w:tcW w:w="1002" w:type="dxa"/>
            <w:vMerge w:val="continue"/>
            <w:tcBorders>
              <w:top w:val="nil"/>
              <w:left w:val="single" w:color="auto" w:sz="4" w:space="0"/>
              <w:bottom w:val="single" w:color="auto" w:sz="4" w:space="0"/>
              <w:right w:val="single" w:color="auto" w:sz="4" w:space="0"/>
            </w:tcBorders>
            <w:vAlign w:val="center"/>
          </w:tcPr>
          <w:p w14:paraId="1A551F17">
            <w:pPr>
              <w:rPr>
                <w:rFonts w:ascii="方正仿宋_GBK" w:hAnsi="Calibri" w:eastAsia="方正仿宋_GBK"/>
                <w:color w:val="000000"/>
                <w:sz w:val="18"/>
                <w:szCs w:val="18"/>
              </w:rPr>
            </w:pPr>
          </w:p>
        </w:tc>
        <w:tc>
          <w:tcPr>
            <w:tcW w:w="984" w:type="dxa"/>
            <w:tcBorders>
              <w:top w:val="nil"/>
              <w:left w:val="nil"/>
              <w:bottom w:val="single" w:color="auto" w:sz="4" w:space="0"/>
              <w:right w:val="nil"/>
            </w:tcBorders>
            <w:shd w:val="clear" w:color="auto" w:fill="auto"/>
            <w:vAlign w:val="center"/>
          </w:tcPr>
          <w:p w14:paraId="02C0EAF7">
            <w:pPr>
              <w:wordWrap w:val="0"/>
              <w:autoSpaceDN w:val="0"/>
              <w:jc w:val="right"/>
              <w:rPr>
                <w:rFonts w:ascii="方正仿宋_GBK" w:hAnsi="Calibri" w:eastAsia="方正仿宋_GBK"/>
                <w:color w:val="000000"/>
                <w:sz w:val="18"/>
                <w:szCs w:val="18"/>
              </w:rPr>
            </w:pPr>
            <w:r>
              <w:rPr>
                <w:rFonts w:hint="eastAsia" w:ascii="方正仿宋_GBK" w:eastAsia="方正仿宋_GBK"/>
                <w:color w:val="000000"/>
                <w:sz w:val="18"/>
                <w:szCs w:val="18"/>
              </w:rPr>
              <w:t>其中：区级支出</w:t>
            </w:r>
          </w:p>
        </w:tc>
        <w:tc>
          <w:tcPr>
            <w:tcW w:w="1842"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07F2D22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690.73</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342701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690.73</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14:paraId="053994C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690.73</w:t>
            </w:r>
          </w:p>
        </w:tc>
        <w:tc>
          <w:tcPr>
            <w:tcW w:w="851" w:type="dxa"/>
            <w:tcBorders>
              <w:top w:val="nil"/>
              <w:left w:val="nil"/>
              <w:bottom w:val="single" w:color="auto" w:sz="4" w:space="0"/>
              <w:right w:val="single" w:color="auto" w:sz="4" w:space="0"/>
            </w:tcBorders>
            <w:shd w:val="clear" w:color="auto" w:fill="auto"/>
            <w:vAlign w:val="center"/>
          </w:tcPr>
          <w:p w14:paraId="68A6215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44116553">
            <w:pPr>
              <w:autoSpaceDN w:val="0"/>
              <w:jc w:val="center"/>
              <w:rPr>
                <w:rFonts w:ascii="方正仿宋_GBK" w:hAnsi="Calibri" w:eastAsia="方正仿宋_GBK"/>
                <w:sz w:val="18"/>
                <w:szCs w:val="18"/>
              </w:rPr>
            </w:pPr>
            <w:r>
              <w:rPr>
                <w:rFonts w:hint="eastAsia" w:ascii="方正仿宋_GBK" w:eastAsia="方正仿宋_GBK"/>
                <w:sz w:val="18"/>
                <w:szCs w:val="18"/>
              </w:rPr>
              <w:t>10　</w:t>
            </w:r>
          </w:p>
        </w:tc>
        <w:tc>
          <w:tcPr>
            <w:tcW w:w="851" w:type="dxa"/>
            <w:tcBorders>
              <w:top w:val="nil"/>
              <w:left w:val="nil"/>
              <w:bottom w:val="single" w:color="auto" w:sz="4" w:space="0"/>
              <w:right w:val="single" w:color="auto" w:sz="4" w:space="0"/>
            </w:tcBorders>
            <w:shd w:val="clear" w:color="auto" w:fill="auto"/>
            <w:vAlign w:val="center"/>
          </w:tcPr>
          <w:p w14:paraId="36B7D18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　</w:t>
            </w:r>
          </w:p>
        </w:tc>
      </w:tr>
      <w:tr w14:paraId="1A2A3DEA">
        <w:tblPrEx>
          <w:tblCellMar>
            <w:top w:w="0" w:type="dxa"/>
            <w:left w:w="108" w:type="dxa"/>
            <w:bottom w:w="0" w:type="dxa"/>
            <w:right w:w="108" w:type="dxa"/>
          </w:tblCellMar>
        </w:tblPrEx>
        <w:trPr>
          <w:cantSplit/>
          <w:trHeight w:val="601" w:hRule="atLeast"/>
        </w:trPr>
        <w:tc>
          <w:tcPr>
            <w:tcW w:w="1002" w:type="dxa"/>
            <w:vMerge w:val="restart"/>
            <w:tcBorders>
              <w:top w:val="nil"/>
              <w:left w:val="single" w:color="auto" w:sz="4" w:space="0"/>
              <w:bottom w:val="single" w:color="auto" w:sz="4" w:space="0"/>
              <w:right w:val="single" w:color="auto" w:sz="4" w:space="0"/>
            </w:tcBorders>
            <w:shd w:val="clear" w:color="auto" w:fill="auto"/>
            <w:vAlign w:val="center"/>
          </w:tcPr>
          <w:p w14:paraId="50040EA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当年绩效目标</w:t>
            </w:r>
          </w:p>
        </w:tc>
        <w:tc>
          <w:tcPr>
            <w:tcW w:w="2826" w:type="dxa"/>
            <w:gridSpan w:val="7"/>
            <w:tcBorders>
              <w:top w:val="single" w:color="auto" w:sz="4" w:space="0"/>
              <w:left w:val="nil"/>
              <w:bottom w:val="single" w:color="auto" w:sz="4" w:space="0"/>
              <w:right w:val="single" w:color="000000" w:sz="4" w:space="0"/>
            </w:tcBorders>
            <w:shd w:val="clear" w:color="auto" w:fill="auto"/>
            <w:vAlign w:val="center"/>
          </w:tcPr>
          <w:p w14:paraId="21690A9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年初绩效目标</w:t>
            </w:r>
          </w:p>
        </w:tc>
        <w:tc>
          <w:tcPr>
            <w:tcW w:w="2835" w:type="dxa"/>
            <w:gridSpan w:val="4"/>
            <w:tcBorders>
              <w:top w:val="single" w:color="auto" w:sz="4" w:space="0"/>
              <w:left w:val="nil"/>
              <w:bottom w:val="single" w:color="auto" w:sz="4" w:space="0"/>
              <w:right w:val="single" w:color="000000" w:sz="4" w:space="0"/>
            </w:tcBorders>
            <w:shd w:val="clear" w:color="auto" w:fill="auto"/>
            <w:vAlign w:val="center"/>
          </w:tcPr>
          <w:p w14:paraId="7FE8DAC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全年（调整）绩效目标</w:t>
            </w:r>
          </w:p>
        </w:tc>
        <w:tc>
          <w:tcPr>
            <w:tcW w:w="2552" w:type="dxa"/>
            <w:gridSpan w:val="3"/>
            <w:tcBorders>
              <w:top w:val="single" w:color="auto" w:sz="4" w:space="0"/>
              <w:left w:val="nil"/>
              <w:bottom w:val="single" w:color="auto" w:sz="4" w:space="0"/>
              <w:right w:val="single" w:color="000000" w:sz="4" w:space="0"/>
            </w:tcBorders>
            <w:shd w:val="clear" w:color="auto" w:fill="auto"/>
            <w:vAlign w:val="center"/>
          </w:tcPr>
          <w:p w14:paraId="059BCC2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全年目标实际完成情况</w:t>
            </w:r>
          </w:p>
        </w:tc>
      </w:tr>
      <w:tr w14:paraId="1108EC3A">
        <w:tblPrEx>
          <w:tblCellMar>
            <w:top w:w="0" w:type="dxa"/>
            <w:left w:w="108" w:type="dxa"/>
            <w:bottom w:w="0" w:type="dxa"/>
            <w:right w:w="108" w:type="dxa"/>
          </w:tblCellMar>
        </w:tblPrEx>
        <w:trPr>
          <w:cantSplit/>
          <w:trHeight w:val="2351" w:hRule="atLeast"/>
        </w:trPr>
        <w:tc>
          <w:tcPr>
            <w:tcW w:w="1002" w:type="dxa"/>
            <w:vMerge w:val="continue"/>
            <w:tcBorders>
              <w:top w:val="nil"/>
              <w:left w:val="single" w:color="auto" w:sz="4" w:space="0"/>
              <w:bottom w:val="single" w:color="auto" w:sz="4" w:space="0"/>
              <w:right w:val="single" w:color="auto" w:sz="4" w:space="0"/>
            </w:tcBorders>
            <w:vAlign w:val="center"/>
          </w:tcPr>
          <w:p w14:paraId="3AAB2E20">
            <w:pPr>
              <w:rPr>
                <w:rFonts w:ascii="方正仿宋_GBK" w:hAnsi="Calibri" w:eastAsia="方正仿宋_GBK"/>
                <w:color w:val="000000"/>
                <w:sz w:val="18"/>
                <w:szCs w:val="18"/>
              </w:rPr>
            </w:pPr>
          </w:p>
        </w:tc>
        <w:tc>
          <w:tcPr>
            <w:tcW w:w="2259" w:type="dxa"/>
            <w:gridSpan w:val="5"/>
            <w:tcBorders>
              <w:top w:val="single" w:color="auto" w:sz="4" w:space="0"/>
              <w:left w:val="nil"/>
              <w:bottom w:val="single" w:color="auto" w:sz="4" w:space="0"/>
              <w:right w:val="single" w:color="000000" w:sz="4" w:space="0"/>
            </w:tcBorders>
            <w:shd w:val="clear" w:color="auto" w:fill="auto"/>
            <w:vAlign w:val="center"/>
          </w:tcPr>
          <w:p w14:paraId="77DF55A9">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xml:space="preserve">紧紧围绕全区加快推进“三生三宜”品质城市建设总体要求，狠抓城市精细化管理，巩固无暴露垃圾街道建设成果，完善常态、长效管理机制，持续推进环保“五大行动”，切实加强“两违”执法整治工作。    </w:t>
            </w:r>
          </w:p>
        </w:tc>
        <w:tc>
          <w:tcPr>
            <w:tcW w:w="3402" w:type="dxa"/>
            <w:gridSpan w:val="6"/>
            <w:tcBorders>
              <w:top w:val="single" w:color="auto" w:sz="4" w:space="0"/>
              <w:left w:val="nil"/>
              <w:bottom w:val="single" w:color="auto" w:sz="4" w:space="0"/>
              <w:right w:val="single" w:color="000000" w:sz="4" w:space="0"/>
            </w:tcBorders>
            <w:shd w:val="clear" w:color="auto" w:fill="auto"/>
            <w:vAlign w:val="center"/>
          </w:tcPr>
          <w:p w14:paraId="019761B1">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xml:space="preserve">紧紧围绕全区加快推进“三生三宜”品质城市建设总体要求，狠抓城市精细化管理，巩固无暴露垃圾街道建设成果，完善常态、长效管理机制，持续推进环保“五大行动”，切实加强“两违”执法整治工作。    </w:t>
            </w:r>
          </w:p>
        </w:tc>
        <w:tc>
          <w:tcPr>
            <w:tcW w:w="2552" w:type="dxa"/>
            <w:gridSpan w:val="3"/>
            <w:tcBorders>
              <w:top w:val="single" w:color="auto" w:sz="4" w:space="0"/>
              <w:left w:val="nil"/>
              <w:bottom w:val="single" w:color="auto" w:sz="4" w:space="0"/>
              <w:right w:val="single" w:color="000000" w:sz="4" w:space="0"/>
            </w:tcBorders>
            <w:shd w:val="clear" w:color="auto" w:fill="auto"/>
            <w:vAlign w:val="center"/>
          </w:tcPr>
          <w:p w14:paraId="5605C36E">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xml:space="preserve">紧紧围绕全区加快推进“三生三宜”品质城市建设总体要求，狠抓城市精细化管理，巩固无暴露垃圾街道建设成果，完善常态、长效管理机制，持续推进环保“五大行动”，切实加强“两违”执法整治工作。    </w:t>
            </w:r>
          </w:p>
        </w:tc>
      </w:tr>
      <w:tr w14:paraId="2F0A538E">
        <w:tblPrEx>
          <w:tblCellMar>
            <w:top w:w="0" w:type="dxa"/>
            <w:left w:w="108" w:type="dxa"/>
            <w:bottom w:w="0" w:type="dxa"/>
            <w:right w:w="108" w:type="dxa"/>
          </w:tblCellMar>
        </w:tblPrEx>
        <w:trPr>
          <w:cantSplit/>
          <w:trHeight w:val="601" w:hRule="atLeast"/>
        </w:trPr>
        <w:tc>
          <w:tcPr>
            <w:tcW w:w="100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4F3EA76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绩效指标</w:t>
            </w:r>
          </w:p>
        </w:tc>
        <w:tc>
          <w:tcPr>
            <w:tcW w:w="1409" w:type="dxa"/>
            <w:gridSpan w:val="2"/>
            <w:tcBorders>
              <w:top w:val="nil"/>
              <w:left w:val="nil"/>
              <w:bottom w:val="single" w:color="auto" w:sz="4" w:space="0"/>
              <w:right w:val="nil"/>
            </w:tcBorders>
            <w:shd w:val="clear" w:color="auto" w:fill="auto"/>
            <w:vAlign w:val="center"/>
          </w:tcPr>
          <w:p w14:paraId="5188CE3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指标名称</w:t>
            </w:r>
          </w:p>
        </w:tc>
        <w:tc>
          <w:tcPr>
            <w:tcW w:w="425" w:type="dxa"/>
            <w:tcBorders>
              <w:top w:val="nil"/>
              <w:left w:val="single" w:color="auto" w:sz="4" w:space="0"/>
              <w:bottom w:val="single" w:color="auto" w:sz="4" w:space="0"/>
              <w:right w:val="single" w:color="auto" w:sz="4" w:space="0"/>
            </w:tcBorders>
            <w:shd w:val="clear" w:color="auto" w:fill="auto"/>
            <w:vAlign w:val="center"/>
          </w:tcPr>
          <w:p w14:paraId="3BC9DB9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计量</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单位</w:t>
            </w:r>
          </w:p>
        </w:tc>
        <w:tc>
          <w:tcPr>
            <w:tcW w:w="709" w:type="dxa"/>
            <w:gridSpan w:val="3"/>
            <w:tcBorders>
              <w:top w:val="nil"/>
              <w:left w:val="nil"/>
              <w:bottom w:val="single" w:color="auto" w:sz="4" w:space="0"/>
              <w:right w:val="single" w:color="auto" w:sz="4" w:space="0"/>
            </w:tcBorders>
            <w:shd w:val="clear" w:color="auto" w:fill="auto"/>
            <w:vAlign w:val="center"/>
          </w:tcPr>
          <w:p w14:paraId="3BB1A4F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性质</w:t>
            </w:r>
          </w:p>
        </w:tc>
        <w:tc>
          <w:tcPr>
            <w:tcW w:w="709" w:type="dxa"/>
            <w:gridSpan w:val="2"/>
            <w:tcBorders>
              <w:top w:val="nil"/>
              <w:left w:val="nil"/>
              <w:bottom w:val="single" w:color="auto" w:sz="4" w:space="0"/>
              <w:right w:val="single" w:color="auto" w:sz="4" w:space="0"/>
            </w:tcBorders>
            <w:shd w:val="clear" w:color="auto" w:fill="auto"/>
            <w:vAlign w:val="center"/>
          </w:tcPr>
          <w:p w14:paraId="4CE96C4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708" w:type="dxa"/>
            <w:tcBorders>
              <w:top w:val="nil"/>
              <w:left w:val="nil"/>
              <w:bottom w:val="single" w:color="auto" w:sz="4" w:space="0"/>
              <w:right w:val="single" w:color="auto" w:sz="4" w:space="0"/>
            </w:tcBorders>
            <w:shd w:val="clear" w:color="auto" w:fill="auto"/>
            <w:vAlign w:val="center"/>
          </w:tcPr>
          <w:p w14:paraId="3924145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调整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851" w:type="dxa"/>
            <w:tcBorders>
              <w:top w:val="nil"/>
              <w:left w:val="nil"/>
              <w:bottom w:val="single" w:color="auto" w:sz="4" w:space="0"/>
              <w:right w:val="single" w:color="auto" w:sz="4" w:space="0"/>
            </w:tcBorders>
            <w:shd w:val="clear" w:color="auto" w:fill="auto"/>
            <w:vAlign w:val="center"/>
          </w:tcPr>
          <w:p w14:paraId="455DDAB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完成值</w:t>
            </w:r>
          </w:p>
        </w:tc>
        <w:tc>
          <w:tcPr>
            <w:tcW w:w="850" w:type="dxa"/>
            <w:tcBorders>
              <w:top w:val="nil"/>
              <w:left w:val="nil"/>
              <w:bottom w:val="single" w:color="auto" w:sz="4" w:space="0"/>
              <w:right w:val="single" w:color="auto" w:sz="4" w:space="0"/>
            </w:tcBorders>
            <w:shd w:val="clear" w:color="auto" w:fill="auto"/>
            <w:vAlign w:val="center"/>
          </w:tcPr>
          <w:p w14:paraId="4A8F64A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得分系数</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w:t>
            </w:r>
          </w:p>
        </w:tc>
        <w:tc>
          <w:tcPr>
            <w:tcW w:w="851" w:type="dxa"/>
            <w:tcBorders>
              <w:top w:val="nil"/>
              <w:left w:val="nil"/>
              <w:bottom w:val="single" w:color="auto" w:sz="4" w:space="0"/>
              <w:right w:val="single" w:color="auto" w:sz="4" w:space="0"/>
            </w:tcBorders>
            <w:shd w:val="clear" w:color="auto" w:fill="auto"/>
            <w:vAlign w:val="center"/>
          </w:tcPr>
          <w:p w14:paraId="2FE945B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指标权重</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850" w:type="dxa"/>
            <w:tcBorders>
              <w:top w:val="nil"/>
              <w:left w:val="nil"/>
              <w:bottom w:val="single" w:color="auto" w:sz="4" w:space="0"/>
              <w:right w:val="single" w:color="auto" w:sz="4" w:space="0"/>
            </w:tcBorders>
            <w:shd w:val="clear" w:color="auto" w:fill="auto"/>
            <w:vAlign w:val="center"/>
          </w:tcPr>
          <w:p w14:paraId="566B34E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指标得分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851" w:type="dxa"/>
            <w:tcBorders>
              <w:top w:val="nil"/>
              <w:left w:val="nil"/>
              <w:bottom w:val="single" w:color="auto" w:sz="4" w:space="0"/>
              <w:right w:val="single" w:color="auto" w:sz="4" w:space="0"/>
            </w:tcBorders>
            <w:shd w:val="clear" w:color="auto" w:fill="auto"/>
            <w:vAlign w:val="center"/>
          </w:tcPr>
          <w:p w14:paraId="5597585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是否核心</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w:t>
            </w:r>
          </w:p>
        </w:tc>
      </w:tr>
      <w:tr w14:paraId="47C32F04">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57616CE1">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2EDDB59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清扫保洁作业面积　</w:t>
            </w:r>
          </w:p>
        </w:tc>
        <w:tc>
          <w:tcPr>
            <w:tcW w:w="425" w:type="dxa"/>
            <w:tcBorders>
              <w:top w:val="nil"/>
              <w:left w:val="single" w:color="auto" w:sz="4" w:space="0"/>
              <w:bottom w:val="single" w:color="auto" w:sz="4" w:space="0"/>
              <w:right w:val="nil"/>
            </w:tcBorders>
            <w:shd w:val="clear" w:color="auto" w:fill="auto"/>
            <w:vAlign w:val="center"/>
          </w:tcPr>
          <w:p w14:paraId="1F609E1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gridSpan w:val="3"/>
            <w:tcBorders>
              <w:top w:val="nil"/>
              <w:left w:val="single" w:color="auto" w:sz="4" w:space="0"/>
              <w:bottom w:val="single" w:color="auto" w:sz="4" w:space="0"/>
              <w:right w:val="nil"/>
            </w:tcBorders>
            <w:shd w:val="clear" w:color="auto" w:fill="auto"/>
            <w:vAlign w:val="center"/>
          </w:tcPr>
          <w:p w14:paraId="666563D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gridSpan w:val="2"/>
            <w:tcBorders>
              <w:top w:val="nil"/>
              <w:left w:val="single" w:color="auto" w:sz="4" w:space="0"/>
              <w:bottom w:val="single" w:color="auto" w:sz="4" w:space="0"/>
              <w:right w:val="nil"/>
            </w:tcBorders>
            <w:shd w:val="clear" w:color="auto" w:fill="auto"/>
            <w:vAlign w:val="center"/>
          </w:tcPr>
          <w:p w14:paraId="7C5EE0C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947647㎡　</w:t>
            </w:r>
          </w:p>
        </w:tc>
        <w:tc>
          <w:tcPr>
            <w:tcW w:w="708" w:type="dxa"/>
            <w:tcBorders>
              <w:top w:val="nil"/>
              <w:left w:val="single" w:color="auto" w:sz="4" w:space="0"/>
              <w:bottom w:val="single" w:color="auto" w:sz="4" w:space="0"/>
              <w:right w:val="nil"/>
            </w:tcBorders>
            <w:shd w:val="clear" w:color="auto" w:fill="auto"/>
            <w:vAlign w:val="center"/>
          </w:tcPr>
          <w:p w14:paraId="7432689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tcBorders>
              <w:top w:val="nil"/>
              <w:left w:val="single" w:color="auto" w:sz="4" w:space="0"/>
              <w:bottom w:val="single" w:color="auto" w:sz="4" w:space="0"/>
              <w:right w:val="nil"/>
            </w:tcBorders>
            <w:shd w:val="clear" w:color="auto" w:fill="auto"/>
            <w:vAlign w:val="center"/>
          </w:tcPr>
          <w:p w14:paraId="19C3E314">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947647㎡</w:t>
            </w:r>
          </w:p>
        </w:tc>
        <w:tc>
          <w:tcPr>
            <w:tcW w:w="850" w:type="dxa"/>
            <w:tcBorders>
              <w:top w:val="nil"/>
              <w:left w:val="single" w:color="auto" w:sz="4" w:space="0"/>
              <w:bottom w:val="single" w:color="auto" w:sz="4" w:space="0"/>
              <w:right w:val="nil"/>
            </w:tcBorders>
            <w:shd w:val="clear" w:color="auto" w:fill="auto"/>
            <w:vAlign w:val="center"/>
          </w:tcPr>
          <w:p w14:paraId="288CA43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1" w:type="dxa"/>
            <w:tcBorders>
              <w:top w:val="nil"/>
              <w:left w:val="single" w:color="auto" w:sz="4" w:space="0"/>
              <w:bottom w:val="single" w:color="auto" w:sz="4" w:space="0"/>
              <w:right w:val="nil"/>
            </w:tcBorders>
            <w:shd w:val="clear" w:color="auto" w:fill="auto"/>
            <w:vAlign w:val="center"/>
          </w:tcPr>
          <w:p w14:paraId="624CC9A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w:t>
            </w:r>
          </w:p>
        </w:tc>
        <w:tc>
          <w:tcPr>
            <w:tcW w:w="850" w:type="dxa"/>
            <w:tcBorders>
              <w:top w:val="nil"/>
              <w:left w:val="single" w:color="auto" w:sz="4" w:space="0"/>
              <w:bottom w:val="single" w:color="auto" w:sz="4" w:space="0"/>
              <w:right w:val="nil"/>
            </w:tcBorders>
            <w:shd w:val="clear" w:color="auto" w:fill="auto"/>
            <w:vAlign w:val="center"/>
          </w:tcPr>
          <w:p w14:paraId="098B782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　</w:t>
            </w:r>
          </w:p>
        </w:tc>
        <w:tc>
          <w:tcPr>
            <w:tcW w:w="851" w:type="dxa"/>
            <w:tcBorders>
              <w:top w:val="nil"/>
              <w:left w:val="single" w:color="auto" w:sz="4" w:space="0"/>
              <w:bottom w:val="single" w:color="auto" w:sz="4" w:space="0"/>
              <w:right w:val="single" w:color="auto" w:sz="4" w:space="0"/>
            </w:tcBorders>
            <w:shd w:val="clear" w:color="auto" w:fill="auto"/>
            <w:vAlign w:val="center"/>
          </w:tcPr>
          <w:p w14:paraId="6A96815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50212B66">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61B66458">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201B67C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管护公厕个数　</w:t>
            </w:r>
          </w:p>
        </w:tc>
        <w:tc>
          <w:tcPr>
            <w:tcW w:w="425" w:type="dxa"/>
            <w:tcBorders>
              <w:top w:val="nil"/>
              <w:left w:val="single" w:color="auto" w:sz="4" w:space="0"/>
              <w:bottom w:val="single" w:color="auto" w:sz="4" w:space="0"/>
              <w:right w:val="nil"/>
            </w:tcBorders>
            <w:shd w:val="clear" w:color="auto" w:fill="auto"/>
            <w:vAlign w:val="center"/>
          </w:tcPr>
          <w:p w14:paraId="2C81C8A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个　</w:t>
            </w:r>
          </w:p>
        </w:tc>
        <w:tc>
          <w:tcPr>
            <w:tcW w:w="709" w:type="dxa"/>
            <w:gridSpan w:val="3"/>
            <w:tcBorders>
              <w:top w:val="nil"/>
              <w:left w:val="single" w:color="auto" w:sz="4" w:space="0"/>
              <w:bottom w:val="single" w:color="auto" w:sz="4" w:space="0"/>
              <w:right w:val="nil"/>
            </w:tcBorders>
            <w:shd w:val="clear" w:color="auto" w:fill="auto"/>
            <w:vAlign w:val="center"/>
          </w:tcPr>
          <w:p w14:paraId="3E2D644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gridSpan w:val="2"/>
            <w:tcBorders>
              <w:top w:val="nil"/>
              <w:left w:val="single" w:color="auto" w:sz="4" w:space="0"/>
              <w:bottom w:val="single" w:color="auto" w:sz="4" w:space="0"/>
              <w:right w:val="nil"/>
            </w:tcBorders>
            <w:shd w:val="clear" w:color="auto" w:fill="auto"/>
            <w:vAlign w:val="center"/>
          </w:tcPr>
          <w:p w14:paraId="4024536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8个　</w:t>
            </w:r>
          </w:p>
        </w:tc>
        <w:tc>
          <w:tcPr>
            <w:tcW w:w="708" w:type="dxa"/>
            <w:tcBorders>
              <w:top w:val="nil"/>
              <w:left w:val="single" w:color="auto" w:sz="4" w:space="0"/>
              <w:bottom w:val="single" w:color="auto" w:sz="4" w:space="0"/>
              <w:right w:val="nil"/>
            </w:tcBorders>
            <w:shd w:val="clear" w:color="auto" w:fill="auto"/>
            <w:vAlign w:val="center"/>
          </w:tcPr>
          <w:p w14:paraId="1FC69AC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tcBorders>
              <w:top w:val="nil"/>
              <w:left w:val="single" w:color="auto" w:sz="4" w:space="0"/>
              <w:bottom w:val="single" w:color="auto" w:sz="4" w:space="0"/>
              <w:right w:val="nil"/>
            </w:tcBorders>
            <w:shd w:val="clear" w:color="auto" w:fill="auto"/>
            <w:vAlign w:val="center"/>
          </w:tcPr>
          <w:p w14:paraId="5AE95AD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8个</w:t>
            </w:r>
          </w:p>
        </w:tc>
        <w:tc>
          <w:tcPr>
            <w:tcW w:w="850" w:type="dxa"/>
            <w:tcBorders>
              <w:top w:val="nil"/>
              <w:left w:val="single" w:color="auto" w:sz="4" w:space="0"/>
              <w:bottom w:val="single" w:color="auto" w:sz="4" w:space="0"/>
              <w:right w:val="nil"/>
            </w:tcBorders>
            <w:shd w:val="clear" w:color="auto" w:fill="auto"/>
            <w:vAlign w:val="center"/>
          </w:tcPr>
          <w:p w14:paraId="2AAEDBB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1" w:type="dxa"/>
            <w:tcBorders>
              <w:top w:val="nil"/>
              <w:left w:val="single" w:color="auto" w:sz="4" w:space="0"/>
              <w:bottom w:val="single" w:color="auto" w:sz="4" w:space="0"/>
              <w:right w:val="nil"/>
            </w:tcBorders>
            <w:shd w:val="clear" w:color="auto" w:fill="auto"/>
            <w:vAlign w:val="center"/>
          </w:tcPr>
          <w:p w14:paraId="4299709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　</w:t>
            </w:r>
          </w:p>
        </w:tc>
        <w:tc>
          <w:tcPr>
            <w:tcW w:w="850" w:type="dxa"/>
            <w:tcBorders>
              <w:top w:val="nil"/>
              <w:left w:val="single" w:color="auto" w:sz="4" w:space="0"/>
              <w:bottom w:val="single" w:color="auto" w:sz="4" w:space="0"/>
              <w:right w:val="nil"/>
            </w:tcBorders>
            <w:shd w:val="clear" w:color="auto" w:fill="auto"/>
            <w:vAlign w:val="center"/>
          </w:tcPr>
          <w:p w14:paraId="2973352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　</w:t>
            </w:r>
          </w:p>
        </w:tc>
        <w:tc>
          <w:tcPr>
            <w:tcW w:w="851" w:type="dxa"/>
            <w:tcBorders>
              <w:top w:val="nil"/>
              <w:left w:val="single" w:color="auto" w:sz="4" w:space="0"/>
              <w:bottom w:val="single" w:color="auto" w:sz="4" w:space="0"/>
              <w:right w:val="single" w:color="auto" w:sz="4" w:space="0"/>
            </w:tcBorders>
            <w:shd w:val="clear" w:color="auto" w:fill="auto"/>
            <w:vAlign w:val="center"/>
          </w:tcPr>
          <w:p w14:paraId="08FC44C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07FF2E8D">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4BA6891C">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64E7A8E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管护无主化粪池个数　</w:t>
            </w:r>
          </w:p>
        </w:tc>
        <w:tc>
          <w:tcPr>
            <w:tcW w:w="425" w:type="dxa"/>
            <w:tcBorders>
              <w:top w:val="nil"/>
              <w:left w:val="single" w:color="auto" w:sz="4" w:space="0"/>
              <w:bottom w:val="single" w:color="auto" w:sz="4" w:space="0"/>
              <w:right w:val="nil"/>
            </w:tcBorders>
            <w:shd w:val="clear" w:color="auto" w:fill="auto"/>
            <w:vAlign w:val="center"/>
          </w:tcPr>
          <w:p w14:paraId="5833B6B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个　</w:t>
            </w:r>
          </w:p>
        </w:tc>
        <w:tc>
          <w:tcPr>
            <w:tcW w:w="709" w:type="dxa"/>
            <w:gridSpan w:val="3"/>
            <w:tcBorders>
              <w:top w:val="nil"/>
              <w:left w:val="single" w:color="auto" w:sz="4" w:space="0"/>
              <w:bottom w:val="single" w:color="auto" w:sz="4" w:space="0"/>
              <w:right w:val="nil"/>
            </w:tcBorders>
            <w:shd w:val="clear" w:color="auto" w:fill="auto"/>
            <w:vAlign w:val="center"/>
          </w:tcPr>
          <w:p w14:paraId="3BCB137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gridSpan w:val="2"/>
            <w:tcBorders>
              <w:top w:val="nil"/>
              <w:left w:val="single" w:color="auto" w:sz="4" w:space="0"/>
              <w:bottom w:val="single" w:color="auto" w:sz="4" w:space="0"/>
              <w:right w:val="nil"/>
            </w:tcBorders>
            <w:shd w:val="clear" w:color="auto" w:fill="auto"/>
            <w:vAlign w:val="center"/>
          </w:tcPr>
          <w:p w14:paraId="6360CCC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10个　</w:t>
            </w:r>
          </w:p>
        </w:tc>
        <w:tc>
          <w:tcPr>
            <w:tcW w:w="708" w:type="dxa"/>
            <w:tcBorders>
              <w:top w:val="nil"/>
              <w:left w:val="single" w:color="auto" w:sz="4" w:space="0"/>
              <w:bottom w:val="single" w:color="auto" w:sz="4" w:space="0"/>
              <w:right w:val="nil"/>
            </w:tcBorders>
            <w:shd w:val="clear" w:color="auto" w:fill="auto"/>
            <w:vAlign w:val="center"/>
          </w:tcPr>
          <w:p w14:paraId="4F88D4C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tcBorders>
              <w:top w:val="nil"/>
              <w:left w:val="single" w:color="auto" w:sz="4" w:space="0"/>
              <w:bottom w:val="single" w:color="auto" w:sz="4" w:space="0"/>
              <w:right w:val="nil"/>
            </w:tcBorders>
            <w:shd w:val="clear" w:color="auto" w:fill="auto"/>
            <w:vAlign w:val="center"/>
          </w:tcPr>
          <w:p w14:paraId="1761527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10个</w:t>
            </w:r>
          </w:p>
        </w:tc>
        <w:tc>
          <w:tcPr>
            <w:tcW w:w="850" w:type="dxa"/>
            <w:tcBorders>
              <w:top w:val="nil"/>
              <w:left w:val="single" w:color="auto" w:sz="4" w:space="0"/>
              <w:bottom w:val="single" w:color="auto" w:sz="4" w:space="0"/>
              <w:right w:val="nil"/>
            </w:tcBorders>
            <w:shd w:val="clear" w:color="auto" w:fill="auto"/>
            <w:vAlign w:val="center"/>
          </w:tcPr>
          <w:p w14:paraId="2E98DED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1" w:type="dxa"/>
            <w:tcBorders>
              <w:top w:val="nil"/>
              <w:left w:val="single" w:color="auto" w:sz="4" w:space="0"/>
              <w:bottom w:val="single" w:color="auto" w:sz="4" w:space="0"/>
              <w:right w:val="nil"/>
            </w:tcBorders>
            <w:shd w:val="clear" w:color="auto" w:fill="auto"/>
            <w:vAlign w:val="center"/>
          </w:tcPr>
          <w:p w14:paraId="244B6E9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w:t>
            </w:r>
          </w:p>
        </w:tc>
        <w:tc>
          <w:tcPr>
            <w:tcW w:w="850" w:type="dxa"/>
            <w:tcBorders>
              <w:top w:val="nil"/>
              <w:left w:val="single" w:color="auto" w:sz="4" w:space="0"/>
              <w:bottom w:val="single" w:color="auto" w:sz="4" w:space="0"/>
              <w:right w:val="nil"/>
            </w:tcBorders>
            <w:shd w:val="clear" w:color="auto" w:fill="auto"/>
            <w:vAlign w:val="center"/>
          </w:tcPr>
          <w:p w14:paraId="4D6D87B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w:t>
            </w:r>
          </w:p>
        </w:tc>
        <w:tc>
          <w:tcPr>
            <w:tcW w:w="851" w:type="dxa"/>
            <w:tcBorders>
              <w:top w:val="nil"/>
              <w:left w:val="single" w:color="auto" w:sz="4" w:space="0"/>
              <w:bottom w:val="single" w:color="auto" w:sz="4" w:space="0"/>
              <w:right w:val="single" w:color="auto" w:sz="4" w:space="0"/>
            </w:tcBorders>
            <w:shd w:val="clear" w:color="auto" w:fill="auto"/>
            <w:vAlign w:val="center"/>
          </w:tcPr>
          <w:p w14:paraId="18B69A0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4CF4D41A">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781874E2">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1E32BDC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管护垃圾站个数</w:t>
            </w:r>
          </w:p>
        </w:tc>
        <w:tc>
          <w:tcPr>
            <w:tcW w:w="425" w:type="dxa"/>
            <w:tcBorders>
              <w:top w:val="nil"/>
              <w:left w:val="single" w:color="auto" w:sz="4" w:space="0"/>
              <w:bottom w:val="single" w:color="auto" w:sz="4" w:space="0"/>
              <w:right w:val="nil"/>
            </w:tcBorders>
            <w:shd w:val="clear" w:color="auto" w:fill="auto"/>
            <w:vAlign w:val="center"/>
          </w:tcPr>
          <w:p w14:paraId="203FE3A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个　</w:t>
            </w:r>
          </w:p>
        </w:tc>
        <w:tc>
          <w:tcPr>
            <w:tcW w:w="709" w:type="dxa"/>
            <w:gridSpan w:val="3"/>
            <w:tcBorders>
              <w:top w:val="nil"/>
              <w:left w:val="single" w:color="auto" w:sz="4" w:space="0"/>
              <w:bottom w:val="single" w:color="auto" w:sz="4" w:space="0"/>
              <w:right w:val="nil"/>
            </w:tcBorders>
            <w:shd w:val="clear" w:color="auto" w:fill="auto"/>
            <w:vAlign w:val="center"/>
          </w:tcPr>
          <w:p w14:paraId="43D8758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w:t>
            </w:r>
          </w:p>
        </w:tc>
        <w:tc>
          <w:tcPr>
            <w:tcW w:w="709" w:type="dxa"/>
            <w:gridSpan w:val="2"/>
            <w:tcBorders>
              <w:top w:val="nil"/>
              <w:left w:val="single" w:color="auto" w:sz="4" w:space="0"/>
              <w:bottom w:val="single" w:color="auto" w:sz="4" w:space="0"/>
              <w:right w:val="nil"/>
            </w:tcBorders>
            <w:shd w:val="clear" w:color="auto" w:fill="auto"/>
            <w:vAlign w:val="center"/>
          </w:tcPr>
          <w:p w14:paraId="0A0D1D3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5个　</w:t>
            </w:r>
          </w:p>
        </w:tc>
        <w:tc>
          <w:tcPr>
            <w:tcW w:w="708" w:type="dxa"/>
            <w:tcBorders>
              <w:top w:val="nil"/>
              <w:left w:val="single" w:color="auto" w:sz="4" w:space="0"/>
              <w:bottom w:val="single" w:color="auto" w:sz="4" w:space="0"/>
              <w:right w:val="nil"/>
            </w:tcBorders>
            <w:shd w:val="clear" w:color="auto" w:fill="auto"/>
            <w:vAlign w:val="center"/>
          </w:tcPr>
          <w:p w14:paraId="281C44A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tcBorders>
              <w:top w:val="nil"/>
              <w:left w:val="single" w:color="auto" w:sz="4" w:space="0"/>
              <w:bottom w:val="single" w:color="auto" w:sz="4" w:space="0"/>
              <w:right w:val="nil"/>
            </w:tcBorders>
            <w:shd w:val="clear" w:color="auto" w:fill="auto"/>
            <w:vAlign w:val="center"/>
          </w:tcPr>
          <w:p w14:paraId="458C12E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5个</w:t>
            </w:r>
          </w:p>
        </w:tc>
        <w:tc>
          <w:tcPr>
            <w:tcW w:w="850" w:type="dxa"/>
            <w:tcBorders>
              <w:top w:val="nil"/>
              <w:left w:val="single" w:color="auto" w:sz="4" w:space="0"/>
              <w:bottom w:val="single" w:color="auto" w:sz="4" w:space="0"/>
              <w:right w:val="nil"/>
            </w:tcBorders>
            <w:shd w:val="clear" w:color="auto" w:fill="auto"/>
            <w:vAlign w:val="center"/>
          </w:tcPr>
          <w:p w14:paraId="534587D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1" w:type="dxa"/>
            <w:tcBorders>
              <w:top w:val="nil"/>
              <w:left w:val="single" w:color="auto" w:sz="4" w:space="0"/>
              <w:bottom w:val="single" w:color="auto" w:sz="4" w:space="0"/>
              <w:right w:val="nil"/>
            </w:tcBorders>
            <w:shd w:val="clear" w:color="auto" w:fill="auto"/>
            <w:vAlign w:val="center"/>
          </w:tcPr>
          <w:p w14:paraId="78A2EA6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w:t>
            </w:r>
          </w:p>
        </w:tc>
        <w:tc>
          <w:tcPr>
            <w:tcW w:w="850" w:type="dxa"/>
            <w:tcBorders>
              <w:top w:val="nil"/>
              <w:left w:val="single" w:color="auto" w:sz="4" w:space="0"/>
              <w:bottom w:val="single" w:color="auto" w:sz="4" w:space="0"/>
              <w:right w:val="nil"/>
            </w:tcBorders>
            <w:shd w:val="clear" w:color="auto" w:fill="auto"/>
            <w:vAlign w:val="center"/>
          </w:tcPr>
          <w:p w14:paraId="1D96B01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w:t>
            </w:r>
          </w:p>
        </w:tc>
        <w:tc>
          <w:tcPr>
            <w:tcW w:w="851" w:type="dxa"/>
            <w:tcBorders>
              <w:top w:val="nil"/>
              <w:left w:val="single" w:color="auto" w:sz="4" w:space="0"/>
              <w:bottom w:val="single" w:color="auto" w:sz="4" w:space="0"/>
              <w:right w:val="single" w:color="auto" w:sz="4" w:space="0"/>
            </w:tcBorders>
            <w:shd w:val="clear" w:color="auto" w:fill="auto"/>
            <w:vAlign w:val="center"/>
          </w:tcPr>
          <w:p w14:paraId="3EE3155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18E3E0A8">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1F0BC4AD">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2D8B1C3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维护园林绿化面积　</w:t>
            </w:r>
          </w:p>
        </w:tc>
        <w:tc>
          <w:tcPr>
            <w:tcW w:w="425" w:type="dxa"/>
            <w:tcBorders>
              <w:top w:val="nil"/>
              <w:left w:val="single" w:color="auto" w:sz="4" w:space="0"/>
              <w:bottom w:val="single" w:color="auto" w:sz="4" w:space="0"/>
              <w:right w:val="nil"/>
            </w:tcBorders>
            <w:shd w:val="clear" w:color="auto" w:fill="auto"/>
            <w:vAlign w:val="center"/>
          </w:tcPr>
          <w:p w14:paraId="7D0FEB2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gridSpan w:val="3"/>
            <w:tcBorders>
              <w:top w:val="nil"/>
              <w:left w:val="single" w:color="auto" w:sz="4" w:space="0"/>
              <w:bottom w:val="single" w:color="auto" w:sz="4" w:space="0"/>
              <w:right w:val="nil"/>
            </w:tcBorders>
            <w:shd w:val="clear" w:color="auto" w:fill="auto"/>
            <w:vAlign w:val="center"/>
          </w:tcPr>
          <w:p w14:paraId="1D9E76B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gridSpan w:val="2"/>
            <w:tcBorders>
              <w:top w:val="nil"/>
              <w:left w:val="single" w:color="auto" w:sz="4" w:space="0"/>
              <w:bottom w:val="single" w:color="auto" w:sz="4" w:space="0"/>
              <w:right w:val="nil"/>
            </w:tcBorders>
            <w:shd w:val="clear" w:color="auto" w:fill="auto"/>
            <w:vAlign w:val="center"/>
          </w:tcPr>
          <w:p w14:paraId="40498905">
            <w:pPr>
              <w:jc w:val="center"/>
              <w:textAlignment w:val="center"/>
              <w:rPr>
                <w:color w:val="000000"/>
                <w:sz w:val="20"/>
                <w:szCs w:val="20"/>
              </w:rPr>
            </w:pPr>
            <w:r>
              <w:rPr>
                <w:rFonts w:hint="eastAsia" w:ascii="方正仿宋_GBK" w:eastAsia="方正仿宋_GBK"/>
                <w:color w:val="000000"/>
                <w:sz w:val="18"/>
                <w:szCs w:val="18"/>
              </w:rPr>
              <w:t xml:space="preserve">21972㎡ </w:t>
            </w:r>
          </w:p>
        </w:tc>
        <w:tc>
          <w:tcPr>
            <w:tcW w:w="708" w:type="dxa"/>
            <w:tcBorders>
              <w:top w:val="nil"/>
              <w:left w:val="single" w:color="auto" w:sz="4" w:space="0"/>
              <w:bottom w:val="single" w:color="auto" w:sz="4" w:space="0"/>
              <w:right w:val="nil"/>
            </w:tcBorders>
            <w:shd w:val="clear" w:color="auto" w:fill="auto"/>
            <w:vAlign w:val="center"/>
          </w:tcPr>
          <w:p w14:paraId="712A0A1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tcBorders>
              <w:top w:val="nil"/>
              <w:left w:val="single" w:color="auto" w:sz="4" w:space="0"/>
              <w:bottom w:val="single" w:color="auto" w:sz="4" w:space="0"/>
              <w:right w:val="nil"/>
            </w:tcBorders>
            <w:shd w:val="clear" w:color="auto" w:fill="auto"/>
            <w:vAlign w:val="center"/>
          </w:tcPr>
          <w:p w14:paraId="3F23F42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57278㎡ 　</w:t>
            </w:r>
          </w:p>
        </w:tc>
        <w:tc>
          <w:tcPr>
            <w:tcW w:w="850" w:type="dxa"/>
            <w:tcBorders>
              <w:top w:val="nil"/>
              <w:left w:val="single" w:color="auto" w:sz="4" w:space="0"/>
              <w:bottom w:val="single" w:color="auto" w:sz="4" w:space="0"/>
              <w:right w:val="nil"/>
            </w:tcBorders>
            <w:shd w:val="clear" w:color="auto" w:fill="auto"/>
            <w:vAlign w:val="center"/>
          </w:tcPr>
          <w:p w14:paraId="5CDA67A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1" w:type="dxa"/>
            <w:tcBorders>
              <w:top w:val="nil"/>
              <w:left w:val="single" w:color="auto" w:sz="4" w:space="0"/>
              <w:bottom w:val="single" w:color="auto" w:sz="4" w:space="0"/>
              <w:right w:val="nil"/>
            </w:tcBorders>
            <w:shd w:val="clear" w:color="auto" w:fill="auto"/>
            <w:vAlign w:val="center"/>
          </w:tcPr>
          <w:p w14:paraId="2BF75E9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　</w:t>
            </w:r>
          </w:p>
        </w:tc>
        <w:tc>
          <w:tcPr>
            <w:tcW w:w="850" w:type="dxa"/>
            <w:tcBorders>
              <w:top w:val="nil"/>
              <w:left w:val="single" w:color="auto" w:sz="4" w:space="0"/>
              <w:bottom w:val="single" w:color="auto" w:sz="4" w:space="0"/>
              <w:right w:val="nil"/>
            </w:tcBorders>
            <w:shd w:val="clear" w:color="auto" w:fill="auto"/>
            <w:vAlign w:val="center"/>
          </w:tcPr>
          <w:p w14:paraId="3CCA4AA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w:t>
            </w:r>
          </w:p>
        </w:tc>
        <w:tc>
          <w:tcPr>
            <w:tcW w:w="851" w:type="dxa"/>
            <w:tcBorders>
              <w:top w:val="nil"/>
              <w:left w:val="single" w:color="auto" w:sz="4" w:space="0"/>
              <w:bottom w:val="single" w:color="auto" w:sz="4" w:space="0"/>
              <w:right w:val="single" w:color="auto" w:sz="4" w:space="0"/>
            </w:tcBorders>
            <w:shd w:val="clear" w:color="auto" w:fill="auto"/>
            <w:vAlign w:val="center"/>
          </w:tcPr>
          <w:p w14:paraId="47C8B24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3EE8CAC3">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3300ABEA">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6673B12E">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暴露垃圾及时清运率</w:t>
            </w:r>
          </w:p>
        </w:tc>
        <w:tc>
          <w:tcPr>
            <w:tcW w:w="425" w:type="dxa"/>
            <w:tcBorders>
              <w:top w:val="nil"/>
              <w:left w:val="single" w:color="auto" w:sz="4" w:space="0"/>
              <w:bottom w:val="single" w:color="auto" w:sz="4" w:space="0"/>
              <w:right w:val="nil"/>
            </w:tcBorders>
            <w:shd w:val="clear" w:color="auto" w:fill="auto"/>
            <w:vAlign w:val="center"/>
          </w:tcPr>
          <w:p w14:paraId="6BEF983C">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gridSpan w:val="3"/>
            <w:tcBorders>
              <w:top w:val="nil"/>
              <w:left w:val="single" w:color="auto" w:sz="4" w:space="0"/>
              <w:bottom w:val="single" w:color="auto" w:sz="4" w:space="0"/>
              <w:right w:val="nil"/>
            </w:tcBorders>
            <w:shd w:val="clear" w:color="auto" w:fill="auto"/>
            <w:vAlign w:val="center"/>
          </w:tcPr>
          <w:p w14:paraId="32F845EF">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gridSpan w:val="2"/>
            <w:tcBorders>
              <w:top w:val="nil"/>
              <w:left w:val="single" w:color="auto" w:sz="4" w:space="0"/>
              <w:bottom w:val="single" w:color="auto" w:sz="4" w:space="0"/>
              <w:right w:val="nil"/>
            </w:tcBorders>
            <w:shd w:val="clear" w:color="auto" w:fill="auto"/>
            <w:vAlign w:val="center"/>
          </w:tcPr>
          <w:p w14:paraId="1228B292">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99</w:t>
            </w:r>
          </w:p>
        </w:tc>
        <w:tc>
          <w:tcPr>
            <w:tcW w:w="708" w:type="dxa"/>
            <w:tcBorders>
              <w:top w:val="nil"/>
              <w:left w:val="single" w:color="auto" w:sz="4" w:space="0"/>
              <w:bottom w:val="single" w:color="auto" w:sz="4" w:space="0"/>
              <w:right w:val="nil"/>
            </w:tcBorders>
            <w:shd w:val="clear" w:color="auto" w:fill="auto"/>
            <w:vAlign w:val="center"/>
          </w:tcPr>
          <w:p w14:paraId="32AFE693">
            <w:pPr>
              <w:autoSpaceDN w:val="0"/>
              <w:jc w:val="center"/>
              <w:rPr>
                <w:rFonts w:ascii="方正仿宋_GBK" w:eastAsia="方正仿宋_GBK"/>
                <w:color w:val="000000"/>
                <w:sz w:val="18"/>
                <w:szCs w:val="18"/>
              </w:rPr>
            </w:pPr>
          </w:p>
        </w:tc>
        <w:tc>
          <w:tcPr>
            <w:tcW w:w="851" w:type="dxa"/>
            <w:tcBorders>
              <w:top w:val="nil"/>
              <w:left w:val="single" w:color="auto" w:sz="4" w:space="0"/>
              <w:bottom w:val="single" w:color="auto" w:sz="4" w:space="0"/>
              <w:right w:val="nil"/>
            </w:tcBorders>
            <w:shd w:val="clear" w:color="auto" w:fill="auto"/>
            <w:vAlign w:val="center"/>
          </w:tcPr>
          <w:p w14:paraId="48F194D3">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99</w:t>
            </w:r>
          </w:p>
        </w:tc>
        <w:tc>
          <w:tcPr>
            <w:tcW w:w="850" w:type="dxa"/>
            <w:tcBorders>
              <w:top w:val="nil"/>
              <w:left w:val="single" w:color="auto" w:sz="4" w:space="0"/>
              <w:bottom w:val="single" w:color="auto" w:sz="4" w:space="0"/>
              <w:right w:val="nil"/>
            </w:tcBorders>
            <w:shd w:val="clear" w:color="auto" w:fill="auto"/>
            <w:vAlign w:val="center"/>
          </w:tcPr>
          <w:p w14:paraId="38C2E2C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5196ABD6">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6</w:t>
            </w:r>
          </w:p>
        </w:tc>
        <w:tc>
          <w:tcPr>
            <w:tcW w:w="850" w:type="dxa"/>
            <w:tcBorders>
              <w:top w:val="nil"/>
              <w:left w:val="single" w:color="auto" w:sz="4" w:space="0"/>
              <w:bottom w:val="single" w:color="auto" w:sz="4" w:space="0"/>
              <w:right w:val="nil"/>
            </w:tcBorders>
            <w:shd w:val="clear" w:color="auto" w:fill="auto"/>
            <w:vAlign w:val="center"/>
          </w:tcPr>
          <w:p w14:paraId="21801087">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6</w:t>
            </w:r>
          </w:p>
        </w:tc>
        <w:tc>
          <w:tcPr>
            <w:tcW w:w="851" w:type="dxa"/>
            <w:tcBorders>
              <w:top w:val="nil"/>
              <w:left w:val="single" w:color="auto" w:sz="4" w:space="0"/>
              <w:bottom w:val="single" w:color="auto" w:sz="4" w:space="0"/>
              <w:right w:val="single" w:color="auto" w:sz="4" w:space="0"/>
            </w:tcBorders>
            <w:shd w:val="clear" w:color="auto" w:fill="auto"/>
            <w:vAlign w:val="center"/>
          </w:tcPr>
          <w:p w14:paraId="3ECA17A2">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否</w:t>
            </w:r>
          </w:p>
        </w:tc>
      </w:tr>
      <w:tr w14:paraId="1219A242">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126CE497">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61E50EC7">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资金结算及时率</w:t>
            </w:r>
          </w:p>
        </w:tc>
        <w:tc>
          <w:tcPr>
            <w:tcW w:w="425" w:type="dxa"/>
            <w:tcBorders>
              <w:top w:val="nil"/>
              <w:left w:val="single" w:color="auto" w:sz="4" w:space="0"/>
              <w:bottom w:val="single" w:color="auto" w:sz="4" w:space="0"/>
              <w:right w:val="nil"/>
            </w:tcBorders>
            <w:shd w:val="clear" w:color="auto" w:fill="auto"/>
            <w:vAlign w:val="center"/>
          </w:tcPr>
          <w:p w14:paraId="1B9DBE2D">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gridSpan w:val="3"/>
            <w:tcBorders>
              <w:top w:val="nil"/>
              <w:left w:val="single" w:color="auto" w:sz="4" w:space="0"/>
              <w:bottom w:val="single" w:color="auto" w:sz="4" w:space="0"/>
              <w:right w:val="nil"/>
            </w:tcBorders>
            <w:shd w:val="clear" w:color="auto" w:fill="auto"/>
            <w:vAlign w:val="center"/>
          </w:tcPr>
          <w:p w14:paraId="268A2E71">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gridSpan w:val="2"/>
            <w:tcBorders>
              <w:top w:val="nil"/>
              <w:left w:val="single" w:color="auto" w:sz="4" w:space="0"/>
              <w:bottom w:val="single" w:color="auto" w:sz="4" w:space="0"/>
              <w:right w:val="nil"/>
            </w:tcBorders>
            <w:shd w:val="clear" w:color="auto" w:fill="auto"/>
            <w:vAlign w:val="center"/>
          </w:tcPr>
          <w:p w14:paraId="1859F79E">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708" w:type="dxa"/>
            <w:tcBorders>
              <w:top w:val="nil"/>
              <w:left w:val="single" w:color="auto" w:sz="4" w:space="0"/>
              <w:bottom w:val="single" w:color="auto" w:sz="4" w:space="0"/>
              <w:right w:val="nil"/>
            </w:tcBorders>
            <w:shd w:val="clear" w:color="auto" w:fill="auto"/>
            <w:vAlign w:val="center"/>
          </w:tcPr>
          <w:p w14:paraId="1123BC8B">
            <w:pPr>
              <w:autoSpaceDN w:val="0"/>
              <w:jc w:val="center"/>
              <w:rPr>
                <w:rFonts w:ascii="方正仿宋_GBK" w:eastAsia="方正仿宋_GBK"/>
                <w:color w:val="000000"/>
                <w:sz w:val="18"/>
                <w:szCs w:val="18"/>
              </w:rPr>
            </w:pPr>
          </w:p>
        </w:tc>
        <w:tc>
          <w:tcPr>
            <w:tcW w:w="851" w:type="dxa"/>
            <w:tcBorders>
              <w:top w:val="nil"/>
              <w:left w:val="single" w:color="auto" w:sz="4" w:space="0"/>
              <w:bottom w:val="single" w:color="auto" w:sz="4" w:space="0"/>
              <w:right w:val="nil"/>
            </w:tcBorders>
            <w:shd w:val="clear" w:color="auto" w:fill="auto"/>
            <w:vAlign w:val="center"/>
          </w:tcPr>
          <w:p w14:paraId="3AB802A8">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850" w:type="dxa"/>
            <w:tcBorders>
              <w:top w:val="nil"/>
              <w:left w:val="single" w:color="auto" w:sz="4" w:space="0"/>
              <w:bottom w:val="single" w:color="auto" w:sz="4" w:space="0"/>
              <w:right w:val="nil"/>
            </w:tcBorders>
            <w:shd w:val="clear" w:color="auto" w:fill="auto"/>
            <w:vAlign w:val="center"/>
          </w:tcPr>
          <w:p w14:paraId="1686D3DA">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4CF9126C">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4</w:t>
            </w:r>
          </w:p>
        </w:tc>
        <w:tc>
          <w:tcPr>
            <w:tcW w:w="850" w:type="dxa"/>
            <w:tcBorders>
              <w:top w:val="nil"/>
              <w:left w:val="single" w:color="auto" w:sz="4" w:space="0"/>
              <w:bottom w:val="single" w:color="auto" w:sz="4" w:space="0"/>
              <w:right w:val="nil"/>
            </w:tcBorders>
            <w:shd w:val="clear" w:color="auto" w:fill="auto"/>
            <w:vAlign w:val="center"/>
          </w:tcPr>
          <w:p w14:paraId="331328D0">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4</w:t>
            </w:r>
          </w:p>
        </w:tc>
        <w:tc>
          <w:tcPr>
            <w:tcW w:w="851" w:type="dxa"/>
            <w:tcBorders>
              <w:top w:val="nil"/>
              <w:left w:val="single" w:color="auto" w:sz="4" w:space="0"/>
              <w:bottom w:val="single" w:color="auto" w:sz="4" w:space="0"/>
              <w:right w:val="single" w:color="auto" w:sz="4" w:space="0"/>
            </w:tcBorders>
            <w:shd w:val="clear" w:color="auto" w:fill="auto"/>
            <w:vAlign w:val="center"/>
          </w:tcPr>
          <w:p w14:paraId="0711F395">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否</w:t>
            </w:r>
          </w:p>
        </w:tc>
      </w:tr>
      <w:tr w14:paraId="6C000662">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0091E4FB">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450E556B">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xml:space="preserve">环境整治清扫保洁、园林绿化辖区受益居民数   </w:t>
            </w:r>
          </w:p>
        </w:tc>
        <w:tc>
          <w:tcPr>
            <w:tcW w:w="425" w:type="dxa"/>
            <w:tcBorders>
              <w:top w:val="nil"/>
              <w:left w:val="single" w:color="auto" w:sz="4" w:space="0"/>
              <w:bottom w:val="single" w:color="auto" w:sz="4" w:space="0"/>
              <w:right w:val="nil"/>
            </w:tcBorders>
            <w:shd w:val="clear" w:color="auto" w:fill="auto"/>
            <w:vAlign w:val="center"/>
          </w:tcPr>
          <w:p w14:paraId="03360881">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gridSpan w:val="3"/>
            <w:tcBorders>
              <w:top w:val="nil"/>
              <w:left w:val="single" w:color="auto" w:sz="4" w:space="0"/>
              <w:bottom w:val="single" w:color="auto" w:sz="4" w:space="0"/>
              <w:right w:val="nil"/>
            </w:tcBorders>
            <w:shd w:val="clear" w:color="auto" w:fill="auto"/>
            <w:vAlign w:val="center"/>
          </w:tcPr>
          <w:p w14:paraId="08E797EA">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709" w:type="dxa"/>
            <w:gridSpan w:val="2"/>
            <w:tcBorders>
              <w:top w:val="nil"/>
              <w:left w:val="single" w:color="auto" w:sz="4" w:space="0"/>
              <w:bottom w:val="single" w:color="auto" w:sz="4" w:space="0"/>
              <w:right w:val="nil"/>
            </w:tcBorders>
            <w:shd w:val="clear" w:color="auto" w:fill="auto"/>
            <w:vAlign w:val="center"/>
          </w:tcPr>
          <w:p w14:paraId="3ED28C1C">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164427人</w:t>
            </w:r>
          </w:p>
        </w:tc>
        <w:tc>
          <w:tcPr>
            <w:tcW w:w="708" w:type="dxa"/>
            <w:tcBorders>
              <w:top w:val="nil"/>
              <w:left w:val="single" w:color="auto" w:sz="4" w:space="0"/>
              <w:bottom w:val="single" w:color="auto" w:sz="4" w:space="0"/>
              <w:right w:val="nil"/>
            </w:tcBorders>
            <w:shd w:val="clear" w:color="auto" w:fill="auto"/>
            <w:vAlign w:val="center"/>
          </w:tcPr>
          <w:p w14:paraId="71E9F2DA">
            <w:pPr>
              <w:autoSpaceDN w:val="0"/>
              <w:jc w:val="center"/>
              <w:rPr>
                <w:rFonts w:ascii="方正仿宋_GBK" w:eastAsia="方正仿宋_GBK"/>
                <w:color w:val="000000"/>
                <w:sz w:val="18"/>
                <w:szCs w:val="18"/>
              </w:rPr>
            </w:pPr>
          </w:p>
        </w:tc>
        <w:tc>
          <w:tcPr>
            <w:tcW w:w="851" w:type="dxa"/>
            <w:tcBorders>
              <w:top w:val="nil"/>
              <w:left w:val="single" w:color="auto" w:sz="4" w:space="0"/>
              <w:bottom w:val="single" w:color="auto" w:sz="4" w:space="0"/>
              <w:right w:val="nil"/>
            </w:tcBorders>
            <w:shd w:val="clear" w:color="auto" w:fill="auto"/>
            <w:vAlign w:val="center"/>
          </w:tcPr>
          <w:p w14:paraId="481E0A12">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164427人</w:t>
            </w:r>
          </w:p>
        </w:tc>
        <w:tc>
          <w:tcPr>
            <w:tcW w:w="850" w:type="dxa"/>
            <w:tcBorders>
              <w:top w:val="nil"/>
              <w:left w:val="single" w:color="auto" w:sz="4" w:space="0"/>
              <w:bottom w:val="single" w:color="auto" w:sz="4" w:space="0"/>
              <w:right w:val="nil"/>
            </w:tcBorders>
            <w:shd w:val="clear" w:color="auto" w:fill="auto"/>
            <w:vAlign w:val="center"/>
          </w:tcPr>
          <w:p w14:paraId="6F74678A">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5D75D211">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15</w:t>
            </w:r>
          </w:p>
        </w:tc>
        <w:tc>
          <w:tcPr>
            <w:tcW w:w="850" w:type="dxa"/>
            <w:tcBorders>
              <w:top w:val="nil"/>
              <w:left w:val="single" w:color="auto" w:sz="4" w:space="0"/>
              <w:bottom w:val="single" w:color="auto" w:sz="4" w:space="0"/>
              <w:right w:val="nil"/>
            </w:tcBorders>
            <w:shd w:val="clear" w:color="auto" w:fill="auto"/>
            <w:vAlign w:val="center"/>
          </w:tcPr>
          <w:p w14:paraId="3AC82485">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15</w:t>
            </w:r>
          </w:p>
        </w:tc>
        <w:tc>
          <w:tcPr>
            <w:tcW w:w="851" w:type="dxa"/>
            <w:tcBorders>
              <w:top w:val="nil"/>
              <w:left w:val="single" w:color="auto" w:sz="4" w:space="0"/>
              <w:bottom w:val="single" w:color="auto" w:sz="4" w:space="0"/>
              <w:right w:val="single" w:color="auto" w:sz="4" w:space="0"/>
            </w:tcBorders>
            <w:shd w:val="clear" w:color="auto" w:fill="auto"/>
            <w:vAlign w:val="center"/>
          </w:tcPr>
          <w:p w14:paraId="06C8E3C3">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否</w:t>
            </w:r>
          </w:p>
        </w:tc>
      </w:tr>
      <w:tr w14:paraId="052AB541">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79442594">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67A2825B">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化粪池、公厕安全运行率</w:t>
            </w:r>
          </w:p>
        </w:tc>
        <w:tc>
          <w:tcPr>
            <w:tcW w:w="425" w:type="dxa"/>
            <w:tcBorders>
              <w:top w:val="nil"/>
              <w:left w:val="single" w:color="auto" w:sz="4" w:space="0"/>
              <w:bottom w:val="single" w:color="auto" w:sz="4" w:space="0"/>
              <w:right w:val="nil"/>
            </w:tcBorders>
            <w:shd w:val="clear" w:color="auto" w:fill="auto"/>
            <w:vAlign w:val="center"/>
          </w:tcPr>
          <w:p w14:paraId="31CDD773">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gridSpan w:val="3"/>
            <w:tcBorders>
              <w:top w:val="nil"/>
              <w:left w:val="single" w:color="auto" w:sz="4" w:space="0"/>
              <w:bottom w:val="single" w:color="auto" w:sz="4" w:space="0"/>
              <w:right w:val="nil"/>
            </w:tcBorders>
            <w:shd w:val="clear" w:color="auto" w:fill="auto"/>
            <w:vAlign w:val="center"/>
          </w:tcPr>
          <w:p w14:paraId="67A1423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gridSpan w:val="2"/>
            <w:tcBorders>
              <w:top w:val="nil"/>
              <w:left w:val="single" w:color="auto" w:sz="4" w:space="0"/>
              <w:bottom w:val="single" w:color="auto" w:sz="4" w:space="0"/>
              <w:right w:val="nil"/>
            </w:tcBorders>
            <w:shd w:val="clear" w:color="auto" w:fill="auto"/>
            <w:vAlign w:val="center"/>
          </w:tcPr>
          <w:p w14:paraId="07BB33D5">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708" w:type="dxa"/>
            <w:tcBorders>
              <w:top w:val="nil"/>
              <w:left w:val="single" w:color="auto" w:sz="4" w:space="0"/>
              <w:bottom w:val="single" w:color="auto" w:sz="4" w:space="0"/>
              <w:right w:val="nil"/>
            </w:tcBorders>
            <w:shd w:val="clear" w:color="auto" w:fill="auto"/>
            <w:vAlign w:val="center"/>
          </w:tcPr>
          <w:p w14:paraId="5DB7DB73">
            <w:pPr>
              <w:autoSpaceDN w:val="0"/>
              <w:jc w:val="center"/>
              <w:rPr>
                <w:rFonts w:ascii="方正仿宋_GBK" w:eastAsia="方正仿宋_GBK"/>
                <w:color w:val="000000"/>
                <w:sz w:val="18"/>
                <w:szCs w:val="18"/>
              </w:rPr>
            </w:pPr>
          </w:p>
        </w:tc>
        <w:tc>
          <w:tcPr>
            <w:tcW w:w="851" w:type="dxa"/>
            <w:tcBorders>
              <w:top w:val="nil"/>
              <w:left w:val="single" w:color="auto" w:sz="4" w:space="0"/>
              <w:bottom w:val="single" w:color="auto" w:sz="4" w:space="0"/>
              <w:right w:val="nil"/>
            </w:tcBorders>
            <w:shd w:val="clear" w:color="auto" w:fill="auto"/>
            <w:vAlign w:val="center"/>
          </w:tcPr>
          <w:p w14:paraId="541F1FE1">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850" w:type="dxa"/>
            <w:tcBorders>
              <w:top w:val="nil"/>
              <w:left w:val="single" w:color="auto" w:sz="4" w:space="0"/>
              <w:bottom w:val="single" w:color="auto" w:sz="4" w:space="0"/>
              <w:right w:val="nil"/>
            </w:tcBorders>
            <w:shd w:val="clear" w:color="auto" w:fill="auto"/>
            <w:vAlign w:val="center"/>
          </w:tcPr>
          <w:p w14:paraId="2988360F">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3983FE4B">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15</w:t>
            </w:r>
          </w:p>
        </w:tc>
        <w:tc>
          <w:tcPr>
            <w:tcW w:w="850" w:type="dxa"/>
            <w:tcBorders>
              <w:top w:val="nil"/>
              <w:left w:val="single" w:color="auto" w:sz="4" w:space="0"/>
              <w:bottom w:val="single" w:color="auto" w:sz="4" w:space="0"/>
              <w:right w:val="nil"/>
            </w:tcBorders>
            <w:shd w:val="clear" w:color="auto" w:fill="auto"/>
            <w:vAlign w:val="center"/>
          </w:tcPr>
          <w:p w14:paraId="3D5E38F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15</w:t>
            </w:r>
          </w:p>
        </w:tc>
        <w:tc>
          <w:tcPr>
            <w:tcW w:w="851" w:type="dxa"/>
            <w:tcBorders>
              <w:top w:val="nil"/>
              <w:left w:val="single" w:color="auto" w:sz="4" w:space="0"/>
              <w:bottom w:val="single" w:color="auto" w:sz="4" w:space="0"/>
              <w:right w:val="single" w:color="auto" w:sz="4" w:space="0"/>
            </w:tcBorders>
            <w:shd w:val="clear" w:color="auto" w:fill="auto"/>
            <w:vAlign w:val="center"/>
          </w:tcPr>
          <w:p w14:paraId="0A7E98FB">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否</w:t>
            </w:r>
          </w:p>
        </w:tc>
      </w:tr>
      <w:tr w14:paraId="5A4DF14F">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67EF6923">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41B26DA4">
            <w:pPr>
              <w:jc w:val="center"/>
              <w:textAlignment w:val="center"/>
              <w:rPr>
                <w:color w:val="000000"/>
                <w:sz w:val="20"/>
                <w:szCs w:val="20"/>
              </w:rPr>
            </w:pPr>
            <w:r>
              <w:rPr>
                <w:rFonts w:hint="eastAsia" w:ascii="方正仿宋_GBK" w:eastAsia="方正仿宋_GBK"/>
                <w:color w:val="000000"/>
                <w:sz w:val="18"/>
                <w:szCs w:val="18"/>
              </w:rPr>
              <w:t>辖区居民满意率</w:t>
            </w:r>
          </w:p>
        </w:tc>
        <w:tc>
          <w:tcPr>
            <w:tcW w:w="425" w:type="dxa"/>
            <w:tcBorders>
              <w:top w:val="nil"/>
              <w:left w:val="single" w:color="auto" w:sz="4" w:space="0"/>
              <w:bottom w:val="single" w:color="auto" w:sz="4" w:space="0"/>
              <w:right w:val="nil"/>
            </w:tcBorders>
            <w:shd w:val="clear" w:color="auto" w:fill="auto"/>
            <w:vAlign w:val="center"/>
          </w:tcPr>
          <w:p w14:paraId="5DE2C5F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gridSpan w:val="3"/>
            <w:tcBorders>
              <w:top w:val="nil"/>
              <w:left w:val="single" w:color="auto" w:sz="4" w:space="0"/>
              <w:bottom w:val="single" w:color="auto" w:sz="4" w:space="0"/>
              <w:right w:val="nil"/>
            </w:tcBorders>
            <w:shd w:val="clear" w:color="auto" w:fill="auto"/>
            <w:vAlign w:val="center"/>
          </w:tcPr>
          <w:p w14:paraId="25D62C6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gridSpan w:val="2"/>
            <w:tcBorders>
              <w:top w:val="nil"/>
              <w:left w:val="single" w:color="auto" w:sz="4" w:space="0"/>
              <w:bottom w:val="single" w:color="auto" w:sz="4" w:space="0"/>
              <w:right w:val="nil"/>
            </w:tcBorders>
            <w:shd w:val="clear" w:color="auto" w:fill="auto"/>
            <w:vAlign w:val="center"/>
          </w:tcPr>
          <w:p w14:paraId="576BA57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80　</w:t>
            </w:r>
          </w:p>
        </w:tc>
        <w:tc>
          <w:tcPr>
            <w:tcW w:w="708" w:type="dxa"/>
            <w:tcBorders>
              <w:top w:val="nil"/>
              <w:left w:val="single" w:color="auto" w:sz="4" w:space="0"/>
              <w:bottom w:val="single" w:color="auto" w:sz="4" w:space="0"/>
              <w:right w:val="nil"/>
            </w:tcBorders>
            <w:shd w:val="clear" w:color="auto" w:fill="auto"/>
            <w:vAlign w:val="center"/>
          </w:tcPr>
          <w:p w14:paraId="0B5875F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tcBorders>
              <w:top w:val="nil"/>
              <w:left w:val="single" w:color="auto" w:sz="4" w:space="0"/>
              <w:bottom w:val="single" w:color="auto" w:sz="4" w:space="0"/>
              <w:right w:val="nil"/>
            </w:tcBorders>
            <w:shd w:val="clear" w:color="auto" w:fill="auto"/>
            <w:vAlign w:val="center"/>
          </w:tcPr>
          <w:p w14:paraId="66488464">
            <w:pPr>
              <w:autoSpaceDN w:val="0"/>
              <w:jc w:val="both"/>
              <w:rPr>
                <w:rFonts w:ascii="方正仿宋_GBK" w:hAnsi="Calibri" w:eastAsia="方正仿宋_GBK"/>
                <w:color w:val="000000"/>
                <w:sz w:val="18"/>
                <w:szCs w:val="18"/>
              </w:rPr>
            </w:pPr>
            <w:r>
              <w:rPr>
                <w:rFonts w:hint="eastAsia" w:ascii="方正仿宋_GBK" w:eastAsia="方正仿宋_GBK"/>
                <w:color w:val="000000"/>
                <w:sz w:val="18"/>
                <w:szCs w:val="18"/>
              </w:rPr>
              <w:t>80　</w:t>
            </w:r>
          </w:p>
        </w:tc>
        <w:tc>
          <w:tcPr>
            <w:tcW w:w="850" w:type="dxa"/>
            <w:tcBorders>
              <w:top w:val="nil"/>
              <w:left w:val="single" w:color="auto" w:sz="4" w:space="0"/>
              <w:bottom w:val="single" w:color="auto" w:sz="4" w:space="0"/>
              <w:right w:val="nil"/>
            </w:tcBorders>
            <w:shd w:val="clear" w:color="auto" w:fill="auto"/>
            <w:vAlign w:val="center"/>
          </w:tcPr>
          <w:p w14:paraId="06792D3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1309090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850" w:type="dxa"/>
            <w:tcBorders>
              <w:top w:val="nil"/>
              <w:left w:val="single" w:color="auto" w:sz="4" w:space="0"/>
              <w:bottom w:val="single" w:color="auto" w:sz="4" w:space="0"/>
              <w:right w:val="nil"/>
            </w:tcBorders>
            <w:shd w:val="clear" w:color="auto" w:fill="auto"/>
            <w:vAlign w:val="center"/>
          </w:tcPr>
          <w:p w14:paraId="6550218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w:t>
            </w:r>
          </w:p>
        </w:tc>
        <w:tc>
          <w:tcPr>
            <w:tcW w:w="851" w:type="dxa"/>
            <w:tcBorders>
              <w:top w:val="nil"/>
              <w:left w:val="single" w:color="auto" w:sz="4" w:space="0"/>
              <w:bottom w:val="single" w:color="auto" w:sz="4" w:space="0"/>
              <w:right w:val="single" w:color="auto" w:sz="4" w:space="0"/>
            </w:tcBorders>
            <w:shd w:val="clear" w:color="auto" w:fill="auto"/>
            <w:vAlign w:val="center"/>
          </w:tcPr>
          <w:p w14:paraId="6B493EF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否　</w:t>
            </w:r>
          </w:p>
        </w:tc>
      </w:tr>
      <w:tr w14:paraId="2EDE20AF">
        <w:tblPrEx>
          <w:tblCellMar>
            <w:top w:w="0" w:type="dxa"/>
            <w:left w:w="108" w:type="dxa"/>
            <w:bottom w:w="0" w:type="dxa"/>
            <w:right w:w="108" w:type="dxa"/>
          </w:tblCellMar>
        </w:tblPrEx>
        <w:trPr>
          <w:trHeight w:val="755" w:hRule="atLeast"/>
        </w:trPr>
        <w:tc>
          <w:tcPr>
            <w:tcW w:w="1002" w:type="dxa"/>
            <w:tcBorders>
              <w:top w:val="nil"/>
              <w:left w:val="single" w:color="auto" w:sz="4" w:space="0"/>
              <w:bottom w:val="single" w:color="auto" w:sz="4" w:space="0"/>
              <w:right w:val="single" w:color="auto" w:sz="4" w:space="0"/>
            </w:tcBorders>
            <w:shd w:val="clear" w:color="auto" w:fill="auto"/>
            <w:vAlign w:val="center"/>
          </w:tcPr>
          <w:p w14:paraId="28382E8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说明</w:t>
            </w:r>
          </w:p>
        </w:tc>
        <w:tc>
          <w:tcPr>
            <w:tcW w:w="8213" w:type="dxa"/>
            <w:gridSpan w:val="14"/>
            <w:tcBorders>
              <w:top w:val="single" w:color="auto" w:sz="4" w:space="0"/>
              <w:left w:val="nil"/>
              <w:bottom w:val="single" w:color="auto" w:sz="4" w:space="0"/>
              <w:right w:val="single" w:color="auto" w:sz="4" w:space="0"/>
            </w:tcBorders>
            <w:shd w:val="clear" w:color="auto" w:fill="auto"/>
            <w:vAlign w:val="center"/>
          </w:tcPr>
          <w:p w14:paraId="40607CD8">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w:t>
            </w:r>
          </w:p>
        </w:tc>
      </w:tr>
    </w:tbl>
    <w:p w14:paraId="6A4B4CC0">
      <w:pPr>
        <w:tabs>
          <w:tab w:val="center" w:pos="4153"/>
          <w:tab w:val="left" w:pos="7275"/>
        </w:tabs>
        <w:spacing w:line="600" w:lineRule="exact"/>
        <w:rPr>
          <w:rFonts w:ascii="Times New Roman" w:hAnsi="Times New Roman" w:eastAsia="方正仿宋_GBK"/>
          <w:sz w:val="32"/>
          <w:szCs w:val="32"/>
        </w:rPr>
      </w:pPr>
    </w:p>
    <w:p w14:paraId="5DB709EC">
      <w:pPr>
        <w:pStyle w:val="6"/>
        <w:shd w:val="clear" w:color="auto" w:fill="FFFFFF"/>
        <w:spacing w:before="0" w:beforeAutospacing="0" w:after="0" w:afterAutospacing="0" w:line="600" w:lineRule="exact"/>
        <w:ind w:firstLine="960" w:firstLineChars="300"/>
        <w:jc w:val="both"/>
        <w:outlineLvl w:val="0"/>
        <w:rPr>
          <w:rStyle w:val="9"/>
          <w:rFonts w:ascii="方正黑体_GBK" w:eastAsia="方正黑体_GBK"/>
        </w:rPr>
      </w:pPr>
      <w:r>
        <w:rPr>
          <w:rStyle w:val="9"/>
          <w:rFonts w:hint="eastAsia" w:ascii="方正黑体_GBK" w:eastAsia="方正黑体_GBK"/>
          <w:b w:val="0"/>
          <w:sz w:val="32"/>
          <w:szCs w:val="32"/>
        </w:rPr>
        <w:t>六、专业名词解释</w:t>
      </w:r>
    </w:p>
    <w:p w14:paraId="31F919C1">
      <w:pPr>
        <w:pStyle w:val="13"/>
        <w:tabs>
          <w:tab w:val="center" w:pos="4153"/>
          <w:tab w:val="left" w:pos="7275"/>
        </w:tabs>
        <w:spacing w:line="560" w:lineRule="exact"/>
        <w:ind w:firstLine="643"/>
        <w:rPr>
          <w:rFonts w:ascii="楷体" w:hAnsi="楷体" w:eastAsia="楷体" w:cs="宋体"/>
          <w:b/>
          <w:kern w:val="0"/>
          <w:sz w:val="32"/>
          <w:szCs w:val="32"/>
        </w:rPr>
      </w:pPr>
      <w:r>
        <w:rPr>
          <w:rFonts w:hint="eastAsia" w:ascii="楷体" w:hAnsi="楷体" w:eastAsia="楷体" w:cs="宋体"/>
          <w:b/>
          <w:kern w:val="0"/>
          <w:sz w:val="32"/>
          <w:szCs w:val="32"/>
        </w:rPr>
        <w:t>（一）财政拨款收入</w:t>
      </w:r>
    </w:p>
    <w:p w14:paraId="7961B6A8">
      <w:pPr>
        <w:pStyle w:val="13"/>
        <w:tabs>
          <w:tab w:val="center" w:pos="4153"/>
          <w:tab w:val="left" w:pos="7275"/>
        </w:tabs>
        <w:spacing w:line="560" w:lineRule="exact"/>
        <w:ind w:firstLine="640"/>
        <w:rPr>
          <w:rFonts w:ascii="方正仿宋_GBK" w:eastAsia="方正仿宋_GBK"/>
          <w:sz w:val="32"/>
          <w:szCs w:val="32"/>
        </w:rPr>
      </w:pPr>
      <w:r>
        <w:rPr>
          <w:rFonts w:hint="eastAsia" w:ascii="方正仿宋_GBK" w:eastAsia="方正仿宋_GBK"/>
          <w:sz w:val="32"/>
          <w:szCs w:val="32"/>
        </w:rPr>
        <w:t>指本年度从本级财政部门取得的财政拨款，包括一般公共预算财政拨款和政府性基金预算财政拨款。</w:t>
      </w:r>
    </w:p>
    <w:p w14:paraId="7642B122">
      <w:pPr>
        <w:pStyle w:val="13"/>
        <w:tabs>
          <w:tab w:val="center" w:pos="4153"/>
          <w:tab w:val="left" w:pos="7275"/>
        </w:tabs>
        <w:spacing w:line="560" w:lineRule="exact"/>
        <w:ind w:firstLine="643"/>
        <w:rPr>
          <w:rFonts w:ascii="楷体" w:hAnsi="楷体" w:eastAsia="楷体" w:cs="宋体"/>
          <w:b/>
          <w:kern w:val="0"/>
          <w:sz w:val="32"/>
          <w:szCs w:val="32"/>
        </w:rPr>
      </w:pPr>
      <w:r>
        <w:rPr>
          <w:rFonts w:hint="eastAsia" w:ascii="楷体" w:hAnsi="楷体" w:eastAsia="楷体" w:cs="宋体"/>
          <w:b/>
          <w:kern w:val="0"/>
          <w:sz w:val="32"/>
          <w:szCs w:val="32"/>
        </w:rPr>
        <w:t>（二）年初结转和结余</w:t>
      </w:r>
    </w:p>
    <w:p w14:paraId="726B4B1F">
      <w:pPr>
        <w:pStyle w:val="13"/>
        <w:tabs>
          <w:tab w:val="center" w:pos="4153"/>
          <w:tab w:val="left" w:pos="7275"/>
        </w:tabs>
        <w:spacing w:line="560" w:lineRule="exact"/>
        <w:ind w:firstLine="640"/>
        <w:rPr>
          <w:rFonts w:ascii="方正仿宋_GBK" w:eastAsia="方正仿宋_GBK"/>
          <w:sz w:val="32"/>
          <w:szCs w:val="32"/>
        </w:rPr>
      </w:pPr>
      <w:r>
        <w:rPr>
          <w:rFonts w:hint="eastAsia" w:ascii="方正仿宋_GBK" w:eastAsia="方正仿宋_GBK"/>
          <w:sz w:val="32"/>
          <w:szCs w:val="32"/>
        </w:rPr>
        <w:t>指单位上年结转本年使用的基本支出结转、项目支出结转和结余、经营结余。</w:t>
      </w:r>
    </w:p>
    <w:p w14:paraId="4F7705EA">
      <w:pPr>
        <w:pStyle w:val="13"/>
        <w:tabs>
          <w:tab w:val="center" w:pos="4153"/>
          <w:tab w:val="left" w:pos="7275"/>
        </w:tabs>
        <w:spacing w:line="560" w:lineRule="exact"/>
        <w:ind w:firstLine="643"/>
        <w:rPr>
          <w:rFonts w:ascii="楷体" w:hAnsi="楷体" w:eastAsia="楷体" w:cs="宋体"/>
          <w:b/>
          <w:kern w:val="0"/>
          <w:sz w:val="32"/>
          <w:szCs w:val="32"/>
        </w:rPr>
      </w:pPr>
      <w:r>
        <w:rPr>
          <w:rFonts w:hint="eastAsia" w:ascii="楷体" w:hAnsi="楷体" w:eastAsia="楷体" w:cs="宋体"/>
          <w:b/>
          <w:kern w:val="0"/>
          <w:sz w:val="32"/>
          <w:szCs w:val="32"/>
        </w:rPr>
        <w:t>（三）年末结转和结余</w:t>
      </w:r>
    </w:p>
    <w:p w14:paraId="38CFB024">
      <w:pPr>
        <w:pStyle w:val="13"/>
        <w:tabs>
          <w:tab w:val="center" w:pos="4153"/>
          <w:tab w:val="left" w:pos="7275"/>
        </w:tabs>
        <w:spacing w:line="560" w:lineRule="exact"/>
        <w:ind w:firstLine="640"/>
        <w:rPr>
          <w:rFonts w:ascii="方正仿宋_GBK" w:eastAsia="方正仿宋_GBK"/>
          <w:sz w:val="32"/>
          <w:szCs w:val="32"/>
        </w:rPr>
      </w:pPr>
      <w:r>
        <w:rPr>
          <w:rFonts w:hint="eastAsia" w:ascii="方正仿宋_GBK" w:eastAsia="方正仿宋_GBK"/>
          <w:sz w:val="32"/>
          <w:szCs w:val="32"/>
        </w:rPr>
        <w:t>指单位结转下年的基本支出结转、项目支出结转和结余、经营结余。</w:t>
      </w:r>
    </w:p>
    <w:p w14:paraId="21DA8937">
      <w:pPr>
        <w:pStyle w:val="13"/>
        <w:tabs>
          <w:tab w:val="center" w:pos="4153"/>
          <w:tab w:val="left" w:pos="7275"/>
        </w:tabs>
        <w:spacing w:line="560" w:lineRule="exact"/>
        <w:ind w:firstLine="643"/>
        <w:rPr>
          <w:rFonts w:ascii="楷体" w:hAnsi="楷体" w:eastAsia="楷体" w:cs="宋体"/>
          <w:b/>
          <w:kern w:val="0"/>
          <w:sz w:val="32"/>
          <w:szCs w:val="32"/>
        </w:rPr>
      </w:pPr>
      <w:r>
        <w:rPr>
          <w:rFonts w:hint="eastAsia" w:ascii="楷体" w:hAnsi="楷体" w:eastAsia="楷体" w:cs="宋体"/>
          <w:b/>
          <w:kern w:val="0"/>
          <w:sz w:val="32"/>
          <w:szCs w:val="32"/>
        </w:rPr>
        <w:t>（四）基本支出</w:t>
      </w:r>
    </w:p>
    <w:p w14:paraId="15C2F02D">
      <w:pPr>
        <w:pStyle w:val="13"/>
        <w:tabs>
          <w:tab w:val="center" w:pos="4153"/>
          <w:tab w:val="left" w:pos="7275"/>
        </w:tabs>
        <w:spacing w:line="560" w:lineRule="exact"/>
        <w:ind w:firstLine="640"/>
        <w:rPr>
          <w:rFonts w:ascii="方正仿宋_GBK" w:eastAsia="方正仿宋_GBK"/>
          <w:sz w:val="32"/>
          <w:szCs w:val="32"/>
        </w:rPr>
      </w:pP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B6573D1">
      <w:pPr>
        <w:pStyle w:val="6"/>
        <w:shd w:val="clear" w:color="auto" w:fill="FFFFFF"/>
        <w:spacing w:before="0" w:beforeAutospacing="0" w:after="0" w:afterAutospacing="0" w:line="600" w:lineRule="exact"/>
        <w:ind w:firstLine="643" w:firstLineChars="200"/>
        <w:jc w:val="both"/>
        <w:rPr>
          <w:rFonts w:ascii="楷体" w:hAnsi="楷体" w:eastAsia="楷体"/>
          <w:b/>
          <w:sz w:val="32"/>
          <w:szCs w:val="32"/>
        </w:rPr>
      </w:pPr>
      <w:r>
        <w:rPr>
          <w:rFonts w:hint="eastAsia" w:ascii="楷体" w:hAnsi="楷体" w:eastAsia="楷体"/>
          <w:b/>
          <w:sz w:val="32"/>
          <w:szCs w:val="32"/>
        </w:rPr>
        <w:t>（五）项目支出</w:t>
      </w:r>
    </w:p>
    <w:p w14:paraId="1DDFDB68">
      <w:pPr>
        <w:pStyle w:val="6"/>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指在基本支出之外为完成特定行政任务和事业发展目标所发生的支出。</w:t>
      </w:r>
    </w:p>
    <w:p w14:paraId="2C69C4FE">
      <w:pPr>
        <w:pStyle w:val="6"/>
        <w:shd w:val="clear" w:color="auto" w:fill="FFFFFF"/>
        <w:spacing w:before="0" w:beforeAutospacing="0" w:after="0" w:afterAutospacing="0" w:line="600" w:lineRule="exact"/>
        <w:ind w:firstLine="643" w:firstLineChars="200"/>
        <w:jc w:val="both"/>
        <w:rPr>
          <w:rFonts w:ascii="楷体" w:hAnsi="楷体" w:eastAsia="楷体"/>
          <w:b/>
          <w:sz w:val="32"/>
          <w:szCs w:val="32"/>
        </w:rPr>
      </w:pPr>
      <w:r>
        <w:rPr>
          <w:rFonts w:hint="eastAsia" w:ascii="楷体" w:hAnsi="楷体" w:eastAsia="楷体"/>
          <w:b/>
          <w:sz w:val="32"/>
          <w:szCs w:val="32"/>
        </w:rPr>
        <w:t>（六）“三公”经费</w:t>
      </w:r>
    </w:p>
    <w:p w14:paraId="0BA30869">
      <w:pPr>
        <w:pStyle w:val="6"/>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F566EC">
      <w:pPr>
        <w:pStyle w:val="6"/>
        <w:shd w:val="clear" w:color="auto" w:fill="FFFFFF"/>
        <w:spacing w:before="0" w:beforeAutospacing="0" w:after="0" w:afterAutospacing="0" w:line="600" w:lineRule="exact"/>
        <w:ind w:firstLine="643" w:firstLineChars="200"/>
        <w:jc w:val="both"/>
        <w:rPr>
          <w:rFonts w:ascii="楷体" w:hAnsi="楷体" w:eastAsia="楷体"/>
          <w:b/>
          <w:sz w:val="32"/>
          <w:szCs w:val="32"/>
        </w:rPr>
      </w:pPr>
      <w:r>
        <w:rPr>
          <w:rFonts w:hint="eastAsia" w:ascii="楷体" w:hAnsi="楷体" w:eastAsia="楷体"/>
          <w:b/>
          <w:sz w:val="32"/>
          <w:szCs w:val="32"/>
        </w:rPr>
        <w:t>（七）机关运行经费</w:t>
      </w:r>
    </w:p>
    <w:p w14:paraId="45427F64">
      <w:pPr>
        <w:pStyle w:val="6"/>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3ACC10F">
      <w:pPr>
        <w:pStyle w:val="6"/>
        <w:shd w:val="clear" w:color="auto" w:fill="FFFFFF"/>
        <w:spacing w:before="0" w:beforeAutospacing="0" w:after="0" w:afterAutospacing="0" w:line="600" w:lineRule="exact"/>
        <w:ind w:firstLine="643" w:firstLineChars="200"/>
        <w:jc w:val="both"/>
        <w:rPr>
          <w:rFonts w:ascii="楷体" w:hAnsi="楷体" w:eastAsia="楷体"/>
          <w:b/>
          <w:sz w:val="32"/>
          <w:szCs w:val="32"/>
        </w:rPr>
      </w:pPr>
      <w:r>
        <w:rPr>
          <w:rFonts w:hint="eastAsia" w:ascii="楷体" w:hAnsi="楷体" w:eastAsia="楷体"/>
          <w:b/>
          <w:sz w:val="32"/>
          <w:szCs w:val="32"/>
        </w:rPr>
        <w:t>（八）工资福利支出（支出经济分类科目类级）</w:t>
      </w:r>
    </w:p>
    <w:p w14:paraId="3736F1F2">
      <w:pPr>
        <w:pStyle w:val="6"/>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反映单位开支的在职职工和编制外长期聘用人员的各类劳动报酬，以及为上述人员缴纳的各项社会保险费等。</w:t>
      </w:r>
    </w:p>
    <w:p w14:paraId="1E083500">
      <w:pPr>
        <w:pStyle w:val="6"/>
        <w:shd w:val="clear" w:color="auto" w:fill="FFFFFF"/>
        <w:spacing w:before="0" w:beforeAutospacing="0" w:after="0" w:afterAutospacing="0" w:line="600" w:lineRule="exact"/>
        <w:ind w:firstLine="643" w:firstLineChars="200"/>
        <w:jc w:val="both"/>
        <w:rPr>
          <w:rFonts w:ascii="楷体" w:hAnsi="楷体" w:eastAsia="楷体"/>
          <w:b/>
          <w:sz w:val="32"/>
          <w:szCs w:val="32"/>
        </w:rPr>
      </w:pPr>
      <w:r>
        <w:rPr>
          <w:rFonts w:hint="eastAsia" w:ascii="楷体" w:hAnsi="楷体" w:eastAsia="楷体"/>
          <w:b/>
          <w:sz w:val="32"/>
          <w:szCs w:val="32"/>
        </w:rPr>
        <w:t>（九）商品和服务支出（支出经济分类科目类级）</w:t>
      </w:r>
    </w:p>
    <w:p w14:paraId="537E658C">
      <w:pPr>
        <w:pStyle w:val="6"/>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反映单位购买商品和服务的支出（不包括用于购置固定资产的支出、战略性和应急储备支出）。</w:t>
      </w:r>
    </w:p>
    <w:p w14:paraId="3EB2C5ED">
      <w:pPr>
        <w:pStyle w:val="6"/>
        <w:shd w:val="clear" w:color="auto" w:fill="FFFFFF"/>
        <w:spacing w:before="0" w:beforeAutospacing="0" w:after="0" w:afterAutospacing="0" w:line="600" w:lineRule="exact"/>
        <w:ind w:firstLine="643" w:firstLineChars="200"/>
        <w:jc w:val="both"/>
        <w:rPr>
          <w:rFonts w:ascii="楷体" w:hAnsi="楷体" w:eastAsia="楷体"/>
          <w:b/>
          <w:sz w:val="32"/>
          <w:szCs w:val="32"/>
        </w:rPr>
      </w:pPr>
      <w:r>
        <w:rPr>
          <w:rFonts w:hint="eastAsia" w:ascii="楷体" w:hAnsi="楷体" w:eastAsia="楷体"/>
          <w:b/>
          <w:sz w:val="32"/>
          <w:szCs w:val="32"/>
        </w:rPr>
        <w:t>（十）对个人和家庭的补助（支出经济分类科目类级）</w:t>
      </w:r>
    </w:p>
    <w:p w14:paraId="705FDA43">
      <w:pPr>
        <w:pStyle w:val="6"/>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反映用于对个人和家庭的补助支出。</w:t>
      </w:r>
    </w:p>
    <w:p w14:paraId="036F6661">
      <w:pPr>
        <w:pStyle w:val="6"/>
        <w:shd w:val="clear" w:color="auto" w:fill="FFFFFF"/>
        <w:spacing w:before="0" w:beforeAutospacing="0" w:after="0" w:afterAutospacing="0" w:line="600" w:lineRule="exact"/>
        <w:ind w:firstLine="643" w:firstLineChars="200"/>
        <w:jc w:val="both"/>
        <w:rPr>
          <w:rFonts w:ascii="楷体" w:hAnsi="楷体" w:eastAsia="楷体"/>
          <w:b/>
          <w:sz w:val="32"/>
          <w:szCs w:val="32"/>
        </w:rPr>
      </w:pPr>
      <w:r>
        <w:rPr>
          <w:rFonts w:hint="eastAsia" w:ascii="楷体" w:hAnsi="楷体" w:eastAsia="楷体"/>
          <w:b/>
          <w:sz w:val="32"/>
          <w:szCs w:val="32"/>
        </w:rPr>
        <w:t>（十一）其他资本性支出（支出经济分类科目类级）</w:t>
      </w:r>
    </w:p>
    <w:p w14:paraId="0880CC63">
      <w:pPr>
        <w:pStyle w:val="6"/>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750A5C92">
      <w:pPr>
        <w:pStyle w:val="6"/>
        <w:shd w:val="clear" w:color="auto" w:fill="FFFFFF"/>
        <w:spacing w:before="0" w:beforeAutospacing="0" w:after="0" w:afterAutospacing="0" w:line="600" w:lineRule="exact"/>
        <w:ind w:firstLine="640" w:firstLineChars="200"/>
        <w:jc w:val="both"/>
        <w:rPr>
          <w:rFonts w:ascii="黑体" w:hAnsi="黑体" w:eastAsia="黑体"/>
          <w:b/>
          <w:sz w:val="32"/>
          <w:szCs w:val="32"/>
        </w:rPr>
      </w:pPr>
      <w:r>
        <w:rPr>
          <w:rStyle w:val="9"/>
          <w:rFonts w:hint="eastAsia" w:ascii="黑体" w:hAnsi="黑体" w:eastAsia="黑体"/>
          <w:b w:val="0"/>
          <w:sz w:val="32"/>
          <w:szCs w:val="32"/>
        </w:rPr>
        <w:t>七、决算公开联系方式及信息反馈渠道</w:t>
      </w:r>
    </w:p>
    <w:p w14:paraId="6479DD26">
      <w:pPr>
        <w:pStyle w:val="6"/>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本单位决算公开信息反馈和联系方式：023-62304547。</w:t>
      </w:r>
    </w:p>
    <w:p w14:paraId="18FC0E8A">
      <w:pPr>
        <w:pStyle w:val="6"/>
        <w:shd w:val="clear" w:color="auto" w:fill="FFFFFF"/>
        <w:spacing w:before="0" w:beforeAutospacing="0" w:after="0" w:afterAutospacing="0" w:line="600" w:lineRule="exact"/>
        <w:jc w:val="both"/>
        <w:rPr>
          <w:rFonts w:ascii="方正仿宋_GBK" w:eastAsia="方正仿宋_GBK"/>
          <w:sz w:val="32"/>
          <w:szCs w:val="32"/>
        </w:rPr>
      </w:pPr>
    </w:p>
    <w:sectPr>
      <w:footerReference r:id="rId3" w:type="default"/>
      <w:pgSz w:w="11907" w:h="16840"/>
      <w:pgMar w:top="2098" w:right="1701" w:bottom="1985"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487"/>
    </w:sdtPr>
    <w:sdtContent>
      <w:p w14:paraId="6967F3E3">
        <w:pPr>
          <w:pStyle w:val="4"/>
          <w:jc w:val="center"/>
        </w:pPr>
      </w:p>
      <w:p w14:paraId="324948E5">
        <w:pPr>
          <w:pStyle w:val="4"/>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13</w:t>
        </w:r>
        <w:r>
          <w:rPr>
            <w:rFonts w:ascii="Times New Roman" w:hAnsi="Times New Roman" w:cs="Times New Roman"/>
            <w:sz w:val="21"/>
            <w:szCs w:val="21"/>
          </w:rPr>
          <w:fldChar w:fldCharType="end"/>
        </w:r>
      </w:p>
    </w:sdtContent>
  </w:sdt>
  <w:p w14:paraId="085DE0A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9A41FA"/>
    <w:rsid w:val="000478A4"/>
    <w:rsid w:val="00047D0C"/>
    <w:rsid w:val="00065022"/>
    <w:rsid w:val="0007628E"/>
    <w:rsid w:val="00081AAF"/>
    <w:rsid w:val="00090199"/>
    <w:rsid w:val="000B5109"/>
    <w:rsid w:val="00115962"/>
    <w:rsid w:val="00143491"/>
    <w:rsid w:val="00146F8A"/>
    <w:rsid w:val="00184A88"/>
    <w:rsid w:val="00195915"/>
    <w:rsid w:val="001A6833"/>
    <w:rsid w:val="001C4D44"/>
    <w:rsid w:val="001E63C3"/>
    <w:rsid w:val="001F4420"/>
    <w:rsid w:val="00212199"/>
    <w:rsid w:val="00220AEB"/>
    <w:rsid w:val="00221A09"/>
    <w:rsid w:val="00223621"/>
    <w:rsid w:val="00224DF0"/>
    <w:rsid w:val="0024719C"/>
    <w:rsid w:val="002568A0"/>
    <w:rsid w:val="00277F37"/>
    <w:rsid w:val="002904C6"/>
    <w:rsid w:val="00297E1D"/>
    <w:rsid w:val="002A30CA"/>
    <w:rsid w:val="002C75E6"/>
    <w:rsid w:val="002D1509"/>
    <w:rsid w:val="002E2B05"/>
    <w:rsid w:val="002F5530"/>
    <w:rsid w:val="0030438F"/>
    <w:rsid w:val="00313E61"/>
    <w:rsid w:val="00316F52"/>
    <w:rsid w:val="00317DE3"/>
    <w:rsid w:val="00323DC8"/>
    <w:rsid w:val="003269CF"/>
    <w:rsid w:val="00337D75"/>
    <w:rsid w:val="003463D8"/>
    <w:rsid w:val="00382942"/>
    <w:rsid w:val="003A0844"/>
    <w:rsid w:val="003C530E"/>
    <w:rsid w:val="00411B69"/>
    <w:rsid w:val="0041203C"/>
    <w:rsid w:val="00420E29"/>
    <w:rsid w:val="00436B58"/>
    <w:rsid w:val="00457945"/>
    <w:rsid w:val="00460149"/>
    <w:rsid w:val="004717EC"/>
    <w:rsid w:val="00480583"/>
    <w:rsid w:val="004916C6"/>
    <w:rsid w:val="004A381B"/>
    <w:rsid w:val="004A59A0"/>
    <w:rsid w:val="004D4D09"/>
    <w:rsid w:val="004F03F2"/>
    <w:rsid w:val="00513303"/>
    <w:rsid w:val="00522CB3"/>
    <w:rsid w:val="005257E0"/>
    <w:rsid w:val="00564C8D"/>
    <w:rsid w:val="00586578"/>
    <w:rsid w:val="00590416"/>
    <w:rsid w:val="005A4BAF"/>
    <w:rsid w:val="005B688A"/>
    <w:rsid w:val="00612FFF"/>
    <w:rsid w:val="00626810"/>
    <w:rsid w:val="00632712"/>
    <w:rsid w:val="0063459A"/>
    <w:rsid w:val="006443CC"/>
    <w:rsid w:val="0065179F"/>
    <w:rsid w:val="00693C2A"/>
    <w:rsid w:val="00697B8B"/>
    <w:rsid w:val="006A63A3"/>
    <w:rsid w:val="006B36CE"/>
    <w:rsid w:val="006B3A67"/>
    <w:rsid w:val="006C6AC8"/>
    <w:rsid w:val="006E133F"/>
    <w:rsid w:val="006E3A47"/>
    <w:rsid w:val="006E41D7"/>
    <w:rsid w:val="006E465B"/>
    <w:rsid w:val="006E6C82"/>
    <w:rsid w:val="006F08AE"/>
    <w:rsid w:val="006F3BF5"/>
    <w:rsid w:val="00705F21"/>
    <w:rsid w:val="0073352C"/>
    <w:rsid w:val="00737490"/>
    <w:rsid w:val="00772E20"/>
    <w:rsid w:val="007813B9"/>
    <w:rsid w:val="0079152B"/>
    <w:rsid w:val="0079483A"/>
    <w:rsid w:val="007A3BC6"/>
    <w:rsid w:val="007C3702"/>
    <w:rsid w:val="007F0230"/>
    <w:rsid w:val="007F1469"/>
    <w:rsid w:val="007F3C73"/>
    <w:rsid w:val="00820C59"/>
    <w:rsid w:val="008265B9"/>
    <w:rsid w:val="008415ED"/>
    <w:rsid w:val="00844149"/>
    <w:rsid w:val="008730DE"/>
    <w:rsid w:val="0087676C"/>
    <w:rsid w:val="0088080E"/>
    <w:rsid w:val="00882FF5"/>
    <w:rsid w:val="008872F8"/>
    <w:rsid w:val="0089240E"/>
    <w:rsid w:val="008A039E"/>
    <w:rsid w:val="008C17FA"/>
    <w:rsid w:val="008C2621"/>
    <w:rsid w:val="008C2AA4"/>
    <w:rsid w:val="008C4BAF"/>
    <w:rsid w:val="008C4C79"/>
    <w:rsid w:val="008C5142"/>
    <w:rsid w:val="008C555F"/>
    <w:rsid w:val="008F18D8"/>
    <w:rsid w:val="0090384D"/>
    <w:rsid w:val="0091268F"/>
    <w:rsid w:val="00915B1D"/>
    <w:rsid w:val="009167F0"/>
    <w:rsid w:val="00920078"/>
    <w:rsid w:val="00942D5C"/>
    <w:rsid w:val="00944776"/>
    <w:rsid w:val="00964CD1"/>
    <w:rsid w:val="0098491F"/>
    <w:rsid w:val="00997668"/>
    <w:rsid w:val="009A41FA"/>
    <w:rsid w:val="009C6554"/>
    <w:rsid w:val="009D653C"/>
    <w:rsid w:val="009D65BE"/>
    <w:rsid w:val="009F1CA4"/>
    <w:rsid w:val="009F417E"/>
    <w:rsid w:val="00A21821"/>
    <w:rsid w:val="00A31CCA"/>
    <w:rsid w:val="00A345DA"/>
    <w:rsid w:val="00A43F98"/>
    <w:rsid w:val="00A459EF"/>
    <w:rsid w:val="00A70EC9"/>
    <w:rsid w:val="00A7147C"/>
    <w:rsid w:val="00A77D0D"/>
    <w:rsid w:val="00AD759E"/>
    <w:rsid w:val="00B229D9"/>
    <w:rsid w:val="00B61C9F"/>
    <w:rsid w:val="00B945A0"/>
    <w:rsid w:val="00BA1FD6"/>
    <w:rsid w:val="00BC5277"/>
    <w:rsid w:val="00C13CCB"/>
    <w:rsid w:val="00C25D51"/>
    <w:rsid w:val="00C30890"/>
    <w:rsid w:val="00C34FF1"/>
    <w:rsid w:val="00C56CBE"/>
    <w:rsid w:val="00C6578B"/>
    <w:rsid w:val="00C76068"/>
    <w:rsid w:val="00C82064"/>
    <w:rsid w:val="00C947A8"/>
    <w:rsid w:val="00C94BD4"/>
    <w:rsid w:val="00CB1DD2"/>
    <w:rsid w:val="00CC36DD"/>
    <w:rsid w:val="00CE27F6"/>
    <w:rsid w:val="00CE5AE9"/>
    <w:rsid w:val="00D05BAC"/>
    <w:rsid w:val="00D15BEB"/>
    <w:rsid w:val="00D33E16"/>
    <w:rsid w:val="00D4435A"/>
    <w:rsid w:val="00D639BB"/>
    <w:rsid w:val="00D72426"/>
    <w:rsid w:val="00D73116"/>
    <w:rsid w:val="00D83DCF"/>
    <w:rsid w:val="00D93249"/>
    <w:rsid w:val="00DA738B"/>
    <w:rsid w:val="00DC313B"/>
    <w:rsid w:val="00DC346B"/>
    <w:rsid w:val="00DD511A"/>
    <w:rsid w:val="00E07898"/>
    <w:rsid w:val="00E2155A"/>
    <w:rsid w:val="00E25203"/>
    <w:rsid w:val="00E36D45"/>
    <w:rsid w:val="00E77FB3"/>
    <w:rsid w:val="00F364CA"/>
    <w:rsid w:val="00F543F6"/>
    <w:rsid w:val="00F554AF"/>
    <w:rsid w:val="00F63D28"/>
    <w:rsid w:val="00F6512D"/>
    <w:rsid w:val="00F75F53"/>
    <w:rsid w:val="00F8277D"/>
    <w:rsid w:val="00FC43F9"/>
    <w:rsid w:val="00FD527F"/>
    <w:rsid w:val="00FD7BB0"/>
    <w:rsid w:val="00FE2914"/>
    <w:rsid w:val="00FE4C30"/>
    <w:rsid w:val="0394702E"/>
    <w:rsid w:val="06C451BF"/>
    <w:rsid w:val="3E51518C"/>
    <w:rsid w:val="69CD1C21"/>
    <w:rsid w:val="6F8D2DB7"/>
    <w:rsid w:val="72A505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uiPriority w:val="99"/>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style>
  <w:style w:type="character" w:styleId="9">
    <w:name w:val="Strong"/>
    <w:basedOn w:val="8"/>
    <w:qFormat/>
    <w:uiPriority w:val="22"/>
    <w:rPr>
      <w:b/>
      <w:bCs/>
    </w:rPr>
  </w:style>
  <w:style w:type="character" w:customStyle="1" w:styleId="10">
    <w:name w:val="页眉 Char"/>
    <w:basedOn w:val="8"/>
    <w:link w:val="5"/>
    <w:semiHidden/>
    <w:qFormat/>
    <w:locked/>
    <w:uiPriority w:val="99"/>
    <w:rPr>
      <w:rFonts w:hint="eastAsia" w:ascii="宋体" w:hAnsi="宋体" w:eastAsia="宋体" w:cs="宋体"/>
      <w:sz w:val="18"/>
      <w:szCs w:val="18"/>
    </w:rPr>
  </w:style>
  <w:style w:type="character" w:customStyle="1" w:styleId="11">
    <w:name w:val="页脚 Char"/>
    <w:basedOn w:val="8"/>
    <w:link w:val="4"/>
    <w:qFormat/>
    <w:locked/>
    <w:uiPriority w:val="99"/>
    <w:rPr>
      <w:rFonts w:hint="eastAsia" w:ascii="宋体" w:hAnsi="宋体" w:eastAsia="宋体" w:cs="宋体"/>
      <w:sz w:val="18"/>
      <w:szCs w:val="18"/>
    </w:rPr>
  </w:style>
  <w:style w:type="character" w:customStyle="1" w:styleId="12">
    <w:name w:val="文档结构图 Char"/>
    <w:basedOn w:val="8"/>
    <w:link w:val="2"/>
    <w:semiHidden/>
    <w:qFormat/>
    <w:locked/>
    <w:uiPriority w:val="99"/>
    <w:rPr>
      <w:rFonts w:hint="eastAsia" w:ascii="宋体" w:hAnsi="宋体" w:eastAsia="宋体" w:cs="宋体"/>
      <w:sz w:val="18"/>
      <w:szCs w:val="18"/>
    </w:rPr>
  </w:style>
  <w:style w:type="paragraph" w:styleId="13">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14">
    <w:name w:val="msonormal"/>
    <w:basedOn w:val="1"/>
    <w:semiHidden/>
    <w:qFormat/>
    <w:uiPriority w:val="99"/>
    <w:pPr>
      <w:spacing w:before="100" w:beforeAutospacing="1" w:after="100" w:afterAutospacing="1"/>
    </w:pPr>
  </w:style>
  <w:style w:type="character" w:customStyle="1" w:styleId="15">
    <w:name w:val="批注框文本 Char"/>
    <w:basedOn w:val="8"/>
    <w:link w:val="3"/>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F565-8A57-4B98-944E-B8477F7F03D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6498</Words>
  <Characters>7270</Characters>
  <Lines>54</Lines>
  <Paragraphs>15</Paragraphs>
  <TotalTime>6</TotalTime>
  <ScaleCrop>false</ScaleCrop>
  <LinksUpToDate>false</LinksUpToDate>
  <CharactersWithSpaces>7359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Administrator</cp:lastModifiedBy>
  <cp:lastPrinted>2021-11-17T03:06:00Z</cp:lastPrinted>
  <dcterms:modified xsi:type="dcterms:W3CDTF">2024-12-26T08:56:17Z</dcterms:modified>
  <dc:title>公开报告模板</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A61E753A55E94E57B67AF5D1EDBB2177</vt:lpwstr>
  </property>
</Properties>
</file>