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560" w:lineRule="exact"/>
        <w:jc w:val="both"/>
        <w:rPr>
          <w:rFonts w:ascii="方正仿宋_GBK" w:eastAsia="方正仿宋_GBK"/>
          <w:sz w:val="32"/>
          <w:szCs w:val="32"/>
        </w:rPr>
      </w:pPr>
      <w:r>
        <w:rPr>
          <w:rFonts w:hint="eastAsia" w:ascii="方正仿宋_GBK" w:eastAsia="方正仿宋_GBK"/>
          <w:sz w:val="32"/>
          <w:szCs w:val="32"/>
        </w:rPr>
        <w:t>附件3</w:t>
      </w:r>
    </w:p>
    <w:p>
      <w:pPr>
        <w:pStyle w:val="5"/>
        <w:shd w:val="clear" w:color="auto" w:fill="FFFFFF"/>
        <w:spacing w:before="0" w:beforeAutospacing="0" w:after="0" w:afterAutospacing="0" w:line="560" w:lineRule="exact"/>
        <w:ind w:firstLine="880" w:firstLineChars="200"/>
        <w:jc w:val="center"/>
        <w:outlineLvl w:val="0"/>
        <w:rPr>
          <w:rFonts w:ascii="方正小标宋_GBK" w:eastAsia="方正小标宋_GBK"/>
          <w:sz w:val="44"/>
          <w:szCs w:val="44"/>
        </w:rPr>
      </w:pPr>
      <w:r>
        <w:rPr>
          <w:rFonts w:hint="eastAsia" w:ascii="方正小标宋_GBK" w:eastAsia="方正小标宋_GBK"/>
          <w:sz w:val="44"/>
          <w:szCs w:val="44"/>
        </w:rPr>
        <w:t>中国共产党重庆市南岸区委员会党校2020年度部门决算公开情况说明</w:t>
      </w:r>
    </w:p>
    <w:p>
      <w:pPr>
        <w:pStyle w:val="5"/>
        <w:shd w:val="clear" w:color="auto" w:fill="FFFFFF"/>
        <w:spacing w:before="0" w:beforeAutospacing="0" w:after="0" w:afterAutospacing="0" w:line="560" w:lineRule="exact"/>
        <w:ind w:firstLine="880" w:firstLineChars="200"/>
        <w:jc w:val="both"/>
        <w:rPr>
          <w:rFonts w:ascii="方正小标宋_GBK" w:eastAsia="方正小标宋_GBK"/>
          <w:sz w:val="44"/>
          <w:szCs w:val="44"/>
        </w:rPr>
      </w:pP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sz w:val="32"/>
          <w:szCs w:val="32"/>
        </w:rPr>
      </w:pPr>
      <w:r>
        <w:rPr>
          <w:rStyle w:val="8"/>
          <w:rFonts w:hint="eastAsia" w:ascii="方正黑体_GBK" w:eastAsia="方正黑体_GBK"/>
          <w:b w:val="0"/>
          <w:sz w:val="32"/>
          <w:szCs w:val="32"/>
        </w:rPr>
        <w:t>一、部门基本情况</w:t>
      </w:r>
    </w:p>
    <w:p>
      <w:pPr>
        <w:pStyle w:val="5"/>
        <w:shd w:val="clear" w:color="auto" w:fill="FFFFFF"/>
        <w:spacing w:before="0" w:beforeAutospacing="0" w:after="0" w:afterAutospacing="0" w:line="560" w:lineRule="exact"/>
        <w:ind w:firstLine="643" w:firstLineChars="200"/>
        <w:jc w:val="both"/>
        <w:outlineLvl w:val="1"/>
        <w:rPr>
          <w:rFonts w:ascii="方正仿宋_GBK" w:eastAsia="方正仿宋_GBK"/>
          <w:b/>
          <w:sz w:val="32"/>
          <w:szCs w:val="32"/>
        </w:rPr>
      </w:pPr>
      <w:r>
        <w:rPr>
          <w:rFonts w:hint="eastAsia" w:ascii="方正仿宋_GBK" w:eastAsia="方正仿宋_GBK"/>
          <w:b/>
          <w:sz w:val="32"/>
          <w:szCs w:val="32"/>
        </w:rPr>
        <w:t>（一）职能职责</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sz w:val="32"/>
          <w:szCs w:val="32"/>
        </w:rPr>
      </w:pPr>
      <w:r>
        <w:rPr>
          <w:rFonts w:hint="eastAsia" w:ascii="方正仿宋_GBK" w:eastAsia="方正仿宋_GBK"/>
          <w:sz w:val="32"/>
          <w:szCs w:val="32"/>
        </w:rPr>
        <w:t>1、承担对全区科级以上党员干部、农村支部书记、村委会主任、优秀中青年干部及国家公务员的轮训、培训任务：增强培训人员的马克思主义理论教育和党性锻炼，培养高素质的党政领导干部和国家公务员队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2、面向社会举办各类学历教育和继续教育，为社会发展培养高素质人才。</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sz w:val="32"/>
          <w:szCs w:val="32"/>
        </w:rPr>
      </w:pPr>
      <w:r>
        <w:rPr>
          <w:rFonts w:hint="eastAsia" w:ascii="方正仿宋_GBK" w:eastAsia="方正仿宋_GBK"/>
          <w:sz w:val="32"/>
          <w:szCs w:val="32"/>
        </w:rPr>
        <w:t>3、开展对马列主义、毛泽东思想、邓小平理论和江泽民同志“三个代表”重要思想等党的基本理论的科学研究和宣传教育，培养党的马克思主义理论骨干和理论队伍。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4、宣传党的统一战线理论和方针政策；培训民主党派、无党派人士和统一战线其他方面代表人士及统战工作干部；开展统一战线理论研究、中华文化交流和海外联谊活动。</w:t>
      </w:r>
    </w:p>
    <w:p>
      <w:pPr>
        <w:pStyle w:val="5"/>
        <w:shd w:val="clear" w:color="auto" w:fill="FFFFFF"/>
        <w:spacing w:before="0" w:beforeAutospacing="0" w:after="0" w:afterAutospacing="0" w:line="560" w:lineRule="exact"/>
        <w:ind w:firstLine="643" w:firstLineChars="200"/>
        <w:outlineLvl w:val="1"/>
        <w:rPr>
          <w:rFonts w:ascii="方正仿宋_GBK" w:eastAsia="方正仿宋_GBK"/>
          <w:b/>
          <w:sz w:val="32"/>
          <w:szCs w:val="32"/>
        </w:rPr>
      </w:pPr>
      <w:r>
        <w:rPr>
          <w:rFonts w:hint="eastAsia" w:ascii="方正仿宋_GBK" w:eastAsia="方正仿宋_GBK"/>
          <w:b/>
          <w:sz w:val="32"/>
          <w:szCs w:val="32"/>
        </w:rPr>
        <w:t>（二）机构设置</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1、办公室</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负责文秘档案，组织、纪检、监察、统战、信访、人事、机构编制、劳动、财务，社会治安综合治理。</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2、教研室</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负责教学、科研、调研工作。</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3、教务科</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负责招生、学员管理、学籍管理、教材管理、教学安排等教务工作。</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4、后勤科（信息科）</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负责全校后勤事务管理及国有资产管理，信息化建设规划管理、组织实施、技术保障、设备维护等相关职能职责。</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5、培训科</w:t>
      </w:r>
    </w:p>
    <w:p>
      <w:pPr>
        <w:pStyle w:val="5"/>
        <w:shd w:val="clear" w:color="auto" w:fill="FFFFFF"/>
        <w:spacing w:before="0" w:beforeAutospacing="0" w:after="0" w:afterAutospacing="0" w:line="560" w:lineRule="exact"/>
        <w:ind w:firstLine="640" w:firstLineChars="200"/>
        <w:outlineLvl w:val="1"/>
        <w:rPr>
          <w:rFonts w:ascii="方正仿宋_GBK" w:eastAsia="方正仿宋_GBK"/>
          <w:sz w:val="32"/>
          <w:szCs w:val="32"/>
        </w:rPr>
      </w:pPr>
      <w:r>
        <w:rPr>
          <w:rFonts w:hint="eastAsia" w:ascii="方正仿宋_GBK" w:eastAsia="方正仿宋_GBK"/>
          <w:sz w:val="32"/>
          <w:szCs w:val="32"/>
        </w:rPr>
        <w:t>负责计划外培训规划、培训管理、项目开发、组织实施、效果评估等相关职能职责。</w:t>
      </w:r>
    </w:p>
    <w:p>
      <w:pPr>
        <w:pStyle w:val="5"/>
        <w:shd w:val="clear" w:color="auto" w:fill="FFFFFF"/>
        <w:spacing w:before="0" w:beforeAutospacing="0" w:after="0" w:afterAutospacing="0" w:line="560" w:lineRule="exact"/>
        <w:ind w:firstLine="643" w:firstLineChars="200"/>
        <w:jc w:val="both"/>
        <w:outlineLvl w:val="1"/>
        <w:rPr>
          <w:rFonts w:ascii="方正仿宋_GBK" w:eastAsia="方正仿宋_GBK"/>
          <w:b/>
          <w:sz w:val="32"/>
          <w:szCs w:val="32"/>
        </w:rPr>
      </w:pPr>
      <w:r>
        <w:rPr>
          <w:rFonts w:hint="eastAsia" w:ascii="方正仿宋_GBK" w:eastAsia="方正仿宋_GBK"/>
          <w:b/>
          <w:sz w:val="32"/>
          <w:szCs w:val="32"/>
        </w:rPr>
        <w:t>（三）单位构成</w:t>
      </w:r>
    </w:p>
    <w:p>
      <w:pPr>
        <w:pStyle w:val="5"/>
        <w:shd w:val="clear" w:color="auto" w:fill="FFFFFF"/>
        <w:spacing w:before="0" w:beforeAutospacing="0" w:after="0" w:afterAutospacing="0" w:line="560" w:lineRule="exact"/>
        <w:ind w:firstLine="640" w:firstLineChars="200"/>
        <w:jc w:val="both"/>
        <w:outlineLvl w:val="1"/>
        <w:rPr>
          <w:rFonts w:ascii="方正仿宋_GBK" w:eastAsia="方正仿宋_GBK"/>
          <w:b/>
          <w:color w:val="000000" w:themeColor="text1"/>
          <w:sz w:val="32"/>
          <w:szCs w:val="32"/>
        </w:rPr>
      </w:pPr>
      <w:r>
        <w:rPr>
          <w:rFonts w:hint="eastAsia" w:ascii="方正仿宋_GBK" w:eastAsia="方正仿宋_GBK"/>
          <w:color w:val="000000" w:themeColor="text1"/>
          <w:sz w:val="32"/>
          <w:szCs w:val="32"/>
        </w:rPr>
        <w:t>本单位无下级预算单位。</w:t>
      </w:r>
    </w:p>
    <w:p>
      <w:pPr>
        <w:pStyle w:val="5"/>
        <w:shd w:val="clear" w:color="auto" w:fill="FFFFFF"/>
        <w:spacing w:before="0" w:beforeAutospacing="0" w:after="0" w:afterAutospacing="0" w:line="560" w:lineRule="exact"/>
        <w:ind w:firstLine="640" w:firstLineChars="200"/>
        <w:jc w:val="both"/>
        <w:outlineLvl w:val="0"/>
        <w:rPr>
          <w:rStyle w:val="8"/>
          <w:rFonts w:ascii="方正黑体_GBK" w:eastAsia="方正黑体_GBK"/>
          <w:b w:val="0"/>
        </w:rPr>
      </w:pPr>
      <w:r>
        <w:rPr>
          <w:rStyle w:val="8"/>
          <w:rFonts w:hint="eastAsia" w:ascii="方正黑体_GBK" w:eastAsia="方正黑体_GBK"/>
          <w:b w:val="0"/>
          <w:sz w:val="32"/>
          <w:szCs w:val="32"/>
        </w:rPr>
        <w:t>二、部门决算情况说明</w:t>
      </w:r>
    </w:p>
    <w:p>
      <w:pPr>
        <w:pStyle w:val="5"/>
        <w:shd w:val="clear" w:color="auto" w:fill="FFFFFF"/>
        <w:spacing w:before="0" w:beforeAutospacing="0" w:after="0" w:afterAutospacing="0" w:line="560" w:lineRule="exact"/>
        <w:ind w:firstLine="643" w:firstLineChars="200"/>
        <w:jc w:val="both"/>
        <w:outlineLvl w:val="0"/>
        <w:rPr>
          <w:rFonts w:ascii="方正仿宋_GBK" w:eastAsia="方正仿宋_GBK"/>
          <w:sz w:val="32"/>
          <w:szCs w:val="32"/>
        </w:rPr>
      </w:pPr>
      <w:r>
        <w:rPr>
          <w:rStyle w:val="8"/>
          <w:rFonts w:hint="eastAsia" w:ascii="方正仿宋_GBK" w:eastAsia="方正仿宋_GBK"/>
          <w:sz w:val="32"/>
          <w:szCs w:val="32"/>
        </w:rPr>
        <w:t>（一）收入支出决算总体情况说明</w:t>
      </w:r>
    </w:p>
    <w:p>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Fonts w:hint="eastAsia" w:ascii="方正仿宋_GBK" w:eastAsia="方正仿宋_GBK"/>
          <w:b/>
          <w:sz w:val="32"/>
          <w:szCs w:val="32"/>
        </w:rPr>
        <w:t>1.总体情况。</w:t>
      </w:r>
      <w:r>
        <w:rPr>
          <w:rFonts w:hint="eastAsia" w:ascii="方正仿宋_GBK" w:eastAsia="方正仿宋_GBK"/>
          <w:sz w:val="32"/>
          <w:szCs w:val="32"/>
        </w:rPr>
        <w:t>2020年度收入总计4830.41万元，支出总计4830.41万元。收支较上年决算数增加3490.79万元，增长260.58%，主要原因是本年度增加3673.58万元统战文化基地项目资金，其中盘活存量资金（财政结余统筹安排）552.26万元。</w:t>
      </w:r>
    </w:p>
    <w:p>
      <w:pPr>
        <w:pStyle w:val="5"/>
        <w:shd w:val="clear" w:color="auto" w:fill="FFFFFF"/>
        <w:spacing w:before="0" w:beforeAutospacing="0" w:after="0" w:afterAutospacing="0" w:line="560" w:lineRule="exact"/>
        <w:ind w:firstLine="643" w:firstLineChars="200"/>
        <w:jc w:val="both"/>
        <w:rPr>
          <w:rFonts w:ascii="方正仿宋_GBK" w:eastAsia="方正仿宋_GBK"/>
          <w:color w:val="FF0000"/>
          <w:sz w:val="32"/>
          <w:szCs w:val="32"/>
        </w:rPr>
      </w:pPr>
      <w:r>
        <w:rPr>
          <w:rFonts w:hint="eastAsia" w:ascii="方正仿宋_GBK" w:eastAsia="方正仿宋_GBK"/>
          <w:b/>
          <w:sz w:val="32"/>
          <w:szCs w:val="32"/>
        </w:rPr>
        <w:t>2.收入情况。</w:t>
      </w:r>
      <w:r>
        <w:rPr>
          <w:rFonts w:hint="eastAsia" w:ascii="方正仿宋_GBK" w:eastAsia="方正仿宋_GBK"/>
          <w:sz w:val="32"/>
          <w:szCs w:val="32"/>
        </w:rPr>
        <w:t>2020年度收入合计4278.14万元，较上年决算数增加2949.51万元，增长222%，主要原因是本年度增加3121.32万元统战文化基地项目专项收入。其中：财政拨款收入4278.14万元，占100%。此外，年初结转和结余盘活存量资金（财政结余统筹安排）552.26万元，为统战文化基地项目收入。</w:t>
      </w:r>
    </w:p>
    <w:p>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Fonts w:hint="eastAsia" w:ascii="方正仿宋_GBK" w:eastAsia="方正仿宋_GBK"/>
          <w:b/>
          <w:sz w:val="32"/>
          <w:szCs w:val="32"/>
        </w:rPr>
        <w:t>3.支出情况。</w:t>
      </w:r>
      <w:r>
        <w:rPr>
          <w:rFonts w:hint="eastAsia" w:ascii="方正仿宋_GBK" w:eastAsia="方正仿宋_GBK"/>
          <w:sz w:val="32"/>
          <w:szCs w:val="32"/>
        </w:rPr>
        <w:t>2020年度支出合计4830.41万元，较上年决算数增加3490.79万元，增长260.58%，主要原因是本年度增加3673.58万元统战文化基地项目专项支出，其中盘活存量资金（财政结余统筹安排）552.26万元。其中：基本支出839.03万元，占17.37%；项目支出3991.38万元，占82.63%。</w:t>
      </w:r>
    </w:p>
    <w:p>
      <w:pPr>
        <w:pStyle w:val="5"/>
        <w:shd w:val="clear" w:color="auto" w:fill="FFFFFF"/>
        <w:spacing w:before="0" w:beforeAutospacing="0" w:after="0" w:afterAutospacing="0" w:line="560" w:lineRule="exact"/>
        <w:ind w:firstLine="643" w:firstLineChars="200"/>
        <w:jc w:val="both"/>
        <w:rPr>
          <w:rFonts w:ascii="方正仿宋_GBK" w:eastAsia="方正仿宋_GBK"/>
          <w:b/>
          <w:sz w:val="32"/>
          <w:szCs w:val="32"/>
        </w:rPr>
      </w:pPr>
      <w:r>
        <w:rPr>
          <w:rFonts w:hint="eastAsia" w:ascii="方正仿宋_GBK" w:eastAsia="方正仿宋_GBK"/>
          <w:b/>
          <w:sz w:val="32"/>
          <w:szCs w:val="32"/>
        </w:rPr>
        <w:t>4.结转结余情况。</w:t>
      </w:r>
      <w:r>
        <w:rPr>
          <w:rFonts w:hint="eastAsia" w:ascii="方正仿宋_GBK" w:eastAsia="方正仿宋_GBK"/>
          <w:sz w:val="32"/>
          <w:szCs w:val="32"/>
        </w:rPr>
        <w:t>2020年度年末结转和结余0万元，与上年度持平。</w:t>
      </w:r>
    </w:p>
    <w:p>
      <w:pPr>
        <w:pStyle w:val="5"/>
        <w:shd w:val="clear" w:color="auto" w:fill="FFFFFF"/>
        <w:spacing w:before="0" w:beforeAutospacing="0" w:after="0" w:afterAutospacing="0" w:line="560" w:lineRule="exact"/>
        <w:ind w:firstLine="643" w:firstLineChars="200"/>
        <w:jc w:val="both"/>
        <w:outlineLvl w:val="0"/>
        <w:rPr>
          <w:rStyle w:val="8"/>
        </w:rPr>
      </w:pPr>
      <w:r>
        <w:rPr>
          <w:rStyle w:val="8"/>
          <w:rFonts w:hint="eastAsia" w:ascii="方正仿宋_GBK" w:eastAsia="方正仿宋_GBK"/>
          <w:sz w:val="32"/>
          <w:szCs w:val="32"/>
        </w:rPr>
        <w:t>（二）财政拨款收入支出决算总体情况说明</w:t>
      </w:r>
    </w:p>
    <w:p>
      <w:pPr>
        <w:pStyle w:val="5"/>
        <w:shd w:val="clear" w:color="auto" w:fill="FFFFFF"/>
        <w:spacing w:before="0" w:beforeAutospacing="0" w:after="0" w:afterAutospacing="0" w:line="560" w:lineRule="exact"/>
        <w:ind w:firstLine="640" w:firstLineChars="200"/>
        <w:jc w:val="both"/>
        <w:rPr>
          <w:rFonts w:hint="eastAsia" w:ascii="方正仿宋_GBK" w:eastAsia="方正仿宋_GBK"/>
          <w:sz w:val="32"/>
          <w:szCs w:val="32"/>
        </w:rPr>
      </w:pPr>
      <w:r>
        <w:rPr>
          <w:rFonts w:hint="eastAsia" w:ascii="方正仿宋_GBK" w:eastAsia="方正仿宋_GBK"/>
          <w:bCs/>
          <w:sz w:val="32"/>
          <w:szCs w:val="32"/>
        </w:rPr>
        <w:t>2020年度财政拨款收入总计4830.41万元。与2019 年相比，财政拨款收入总计增加</w:t>
      </w:r>
      <w:r>
        <w:rPr>
          <w:rFonts w:hint="eastAsia" w:ascii="方正仿宋_GBK" w:eastAsia="方正仿宋_GBK"/>
          <w:bCs/>
          <w:color w:val="FF0000"/>
          <w:sz w:val="32"/>
          <w:szCs w:val="32"/>
        </w:rPr>
        <w:t xml:space="preserve"> </w:t>
      </w:r>
      <w:r>
        <w:rPr>
          <w:rFonts w:hint="eastAsia" w:ascii="方正仿宋_GBK" w:eastAsia="方正仿宋_GBK"/>
          <w:bCs/>
          <w:sz w:val="32"/>
          <w:szCs w:val="32"/>
        </w:rPr>
        <w:t>3490.79万元，增长</w:t>
      </w:r>
      <w:r>
        <w:rPr>
          <w:rFonts w:hint="eastAsia" w:ascii="方正仿宋_GBK" w:eastAsia="方正仿宋_GBK"/>
          <w:bCs/>
          <w:color w:val="FF0000"/>
          <w:sz w:val="32"/>
          <w:szCs w:val="32"/>
        </w:rPr>
        <w:t xml:space="preserve"> </w:t>
      </w:r>
      <w:r>
        <w:rPr>
          <w:rFonts w:hint="eastAsia" w:ascii="方正仿宋_GBK" w:eastAsia="方正仿宋_GBK"/>
          <w:bCs/>
          <w:sz w:val="32"/>
          <w:szCs w:val="32"/>
        </w:rPr>
        <w:t>260.58%。</w:t>
      </w:r>
      <w:r>
        <w:rPr>
          <w:rFonts w:hint="eastAsia" w:ascii="方正仿宋_GBK" w:eastAsia="方正仿宋_GBK"/>
          <w:sz w:val="32"/>
          <w:szCs w:val="32"/>
        </w:rPr>
        <w:t>主要原因是本年度增加3673.58万元统战文化基地项目专项收入，其中盘活存量资金（财政结余统筹安排）552.26万元。</w:t>
      </w:r>
    </w:p>
    <w:p>
      <w:pPr>
        <w:pStyle w:val="5"/>
        <w:shd w:val="clear" w:color="auto" w:fill="FFFFFF"/>
        <w:spacing w:before="0" w:beforeAutospacing="0" w:after="0" w:afterAutospacing="0" w:line="560" w:lineRule="exact"/>
        <w:ind w:firstLine="640" w:firstLineChars="200"/>
        <w:jc w:val="both"/>
      </w:pPr>
      <w:r>
        <w:rPr>
          <w:rFonts w:hint="eastAsia" w:ascii="方正仿宋_GBK" w:eastAsia="方正仿宋_GBK"/>
          <w:bCs/>
          <w:sz w:val="32"/>
          <w:szCs w:val="32"/>
        </w:rPr>
        <w:t>2020年度财政拨款支出总计4830.41万元。与2019 年相比，财政拨款支出总计增加</w:t>
      </w:r>
      <w:r>
        <w:rPr>
          <w:rFonts w:hint="eastAsia" w:ascii="方正仿宋_GBK" w:eastAsia="方正仿宋_GBK"/>
          <w:bCs/>
          <w:color w:val="FF0000"/>
          <w:sz w:val="32"/>
          <w:szCs w:val="32"/>
        </w:rPr>
        <w:t xml:space="preserve"> </w:t>
      </w:r>
      <w:r>
        <w:rPr>
          <w:rFonts w:hint="eastAsia" w:ascii="方正仿宋_GBK" w:eastAsia="方正仿宋_GBK"/>
          <w:bCs/>
          <w:sz w:val="32"/>
          <w:szCs w:val="32"/>
        </w:rPr>
        <w:t>3490.79万元，增长</w:t>
      </w:r>
      <w:r>
        <w:rPr>
          <w:rFonts w:hint="eastAsia" w:ascii="方正仿宋_GBK" w:eastAsia="方正仿宋_GBK"/>
          <w:bCs/>
          <w:color w:val="FF0000"/>
          <w:sz w:val="32"/>
          <w:szCs w:val="32"/>
        </w:rPr>
        <w:t xml:space="preserve"> </w:t>
      </w:r>
      <w:r>
        <w:rPr>
          <w:rFonts w:hint="eastAsia" w:ascii="方正仿宋_GBK" w:eastAsia="方正仿宋_GBK"/>
          <w:bCs/>
          <w:sz w:val="32"/>
          <w:szCs w:val="32"/>
        </w:rPr>
        <w:t>260.58%。</w:t>
      </w:r>
      <w:r>
        <w:rPr>
          <w:rFonts w:hint="eastAsia" w:ascii="方正仿宋_GBK" w:eastAsia="方正仿宋_GBK"/>
          <w:sz w:val="32"/>
          <w:szCs w:val="32"/>
        </w:rPr>
        <w:t>主要原因是本年度增加3673.58万元统战文化基地项目专项支出，其中盘活存量资金（财政结余统筹安排）552.26万元。</w:t>
      </w:r>
    </w:p>
    <w:p>
      <w:pPr>
        <w:pStyle w:val="5"/>
        <w:shd w:val="clear" w:color="auto" w:fill="FFFFFF"/>
        <w:spacing w:before="0" w:beforeAutospacing="0" w:after="0" w:afterAutospacing="0" w:line="560" w:lineRule="exact"/>
        <w:ind w:firstLine="643" w:firstLineChars="200"/>
        <w:jc w:val="both"/>
        <w:outlineLvl w:val="0"/>
        <w:rPr>
          <w:rStyle w:val="8"/>
        </w:rPr>
      </w:pPr>
      <w:r>
        <w:rPr>
          <w:rStyle w:val="8"/>
          <w:rFonts w:hint="eastAsia" w:ascii="方正仿宋_GBK" w:eastAsia="方正仿宋_GBK"/>
          <w:sz w:val="32"/>
          <w:szCs w:val="32"/>
        </w:rPr>
        <w:t>（三）一般公共预算财政拨款支出决算情况说明</w:t>
      </w:r>
    </w:p>
    <w:p>
      <w:pPr>
        <w:pStyle w:val="5"/>
        <w:shd w:val="clear" w:color="auto" w:fill="FFFFFF"/>
        <w:spacing w:before="0" w:beforeAutospacing="0" w:after="0" w:afterAutospacing="0" w:line="560" w:lineRule="exact"/>
        <w:ind w:firstLine="643" w:firstLineChars="200"/>
        <w:jc w:val="both"/>
      </w:pPr>
      <w:r>
        <w:rPr>
          <w:rFonts w:hint="eastAsia" w:ascii="方正仿宋_GBK" w:eastAsia="方正仿宋_GBK"/>
          <w:b/>
          <w:sz w:val="32"/>
          <w:szCs w:val="32"/>
        </w:rPr>
        <w:t>1.收入情况。</w:t>
      </w:r>
      <w:r>
        <w:rPr>
          <w:rFonts w:hint="eastAsia" w:ascii="方正仿宋_GBK" w:eastAsia="方正仿宋_GBK"/>
          <w:sz w:val="32"/>
          <w:szCs w:val="32"/>
        </w:rPr>
        <w:t>2020年度一般公共预算财政拨款收入4278.14万元，较上年决算数增加2950.19万元，增长222.16%。主要原因是本年度增加3121.32万元统战文化基地项目专项收入。较年初预算数增加3165.41万元，增长284.47%。主要原因是本年度增加3121.32万元统战文化基地项目专项收入，该项目为区级专项，当年未在本部门申报预算。此外，年初财政拨款结转和结余盘活存量资金（财政结余统筹安排）552.26万元，为统战文化基地项目专项收入。</w:t>
      </w:r>
      <w:r>
        <w:t xml:space="preserve"> </w:t>
      </w:r>
    </w:p>
    <w:p>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Fonts w:hint="eastAsia" w:ascii="方正仿宋_GBK" w:eastAsia="方正仿宋_GBK"/>
          <w:b/>
          <w:sz w:val="32"/>
          <w:szCs w:val="32"/>
        </w:rPr>
        <w:t>2.支出情况。</w:t>
      </w:r>
      <w:r>
        <w:rPr>
          <w:rFonts w:hint="eastAsia" w:ascii="方正仿宋_GBK" w:eastAsia="方正仿宋_GBK"/>
          <w:sz w:val="32"/>
          <w:szCs w:val="32"/>
        </w:rPr>
        <w:t>2020年度一般公共预算财政拨款支出4830.41万元，较上年决算数增加3491.47万元，增长260.76%。主要原因是本年度增加3673.58万元统战文化基地项目专项支出，其中盘活存量资金（财政结余统筹安排）552.26万元。较年初预算数增加3717.68万元，增长334.10%。主要原因是本年度增加3673.58万元统战文化基地项目专项支出，其中盘活存量资金（财政结余统筹安排）552.26万元。</w:t>
      </w:r>
    </w:p>
    <w:p>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Fonts w:hint="eastAsia" w:ascii="方正仿宋_GBK" w:eastAsia="方正仿宋_GBK"/>
          <w:b/>
          <w:sz w:val="32"/>
          <w:szCs w:val="32"/>
        </w:rPr>
        <w:t>3.结转结余情况。</w:t>
      </w:r>
      <w:r>
        <w:rPr>
          <w:rFonts w:hint="eastAsia" w:ascii="方正仿宋_GBK" w:eastAsia="方正仿宋_GBK"/>
          <w:sz w:val="32"/>
          <w:szCs w:val="32"/>
        </w:rPr>
        <w:t>2020年度年末一般公共预算财政拨款结转和结余0万元，与上年持平。</w:t>
      </w:r>
    </w:p>
    <w:p>
      <w:pPr>
        <w:pStyle w:val="5"/>
        <w:widowControl w:val="0"/>
        <w:shd w:val="clear" w:color="auto" w:fill="FFFFFF"/>
        <w:spacing w:before="0" w:beforeAutospacing="0" w:after="0" w:afterAutospacing="0" w:line="560" w:lineRule="exact"/>
        <w:ind w:firstLine="643" w:firstLineChars="200"/>
        <w:jc w:val="both"/>
        <w:rPr>
          <w:rFonts w:ascii="方正仿宋_GBK" w:eastAsia="方正仿宋_GBK"/>
          <w:color w:val="FF0000"/>
          <w:sz w:val="32"/>
          <w:szCs w:val="32"/>
        </w:rPr>
      </w:pPr>
      <w:r>
        <w:rPr>
          <w:rFonts w:hint="eastAsia" w:ascii="方正仿宋_GBK" w:eastAsia="方正仿宋_GBK"/>
          <w:b/>
          <w:sz w:val="32"/>
          <w:szCs w:val="32"/>
        </w:rPr>
        <w:t>4.比较情况。</w:t>
      </w:r>
      <w:r>
        <w:rPr>
          <w:rFonts w:hint="eastAsia" w:ascii="方正仿宋_GBK" w:eastAsia="方正仿宋_GBK"/>
          <w:sz w:val="32"/>
          <w:szCs w:val="32"/>
        </w:rPr>
        <w:t>本部门2020年度一般公共预算财政拨款支出主要用于以下几个方面：</w:t>
      </w:r>
      <w:r>
        <w:rPr>
          <w:rFonts w:ascii="方正仿宋_GBK" w:eastAsia="方正仿宋_GBK"/>
          <w:color w:val="FF0000"/>
          <w:sz w:val="32"/>
          <w:szCs w:val="32"/>
        </w:rPr>
        <w:t xml:space="preserve"> </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（1）教育支出931.91万元，占19.29%，较年初预算数增加29.05万元，增长3.22%，主要原因是基本支出增加28.25万元，项目支出增加0.8万元。</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（2）文化旅游体育与传媒支出3673.58万元，占76.05%，较年初预算数增加3673.58万元，增长100%，主要原因是本年度增加3673.58万元统战文化基地项目专项支出，该项目为区级专项，当年未在本部门申报预算。</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 xml:space="preserve">（3）社会保障与就业支出149.83万元，占3.1%，较年初预算数增加8.38万元，增长5.92%，主要原因是新增1人以及人员的晋档晋级。 </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（4）卫生健康支出38.72万元，占0.8%，与年初预算数持平。</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（5）住房保障支出36.37万元，占0.75%，较年初预算数增加6.67万元，增长22.46%，主要原因是购房补贴增加6.67万元。</w:t>
      </w:r>
    </w:p>
    <w:p>
      <w:pPr>
        <w:pStyle w:val="5"/>
        <w:shd w:val="clear" w:color="auto" w:fill="FFFFFF"/>
        <w:spacing w:before="0" w:beforeAutospacing="0" w:after="0" w:afterAutospacing="0" w:line="560" w:lineRule="exact"/>
        <w:ind w:firstLine="643" w:firstLineChars="200"/>
        <w:jc w:val="both"/>
        <w:outlineLvl w:val="0"/>
        <w:rPr>
          <w:rFonts w:ascii="方正仿宋_GBK" w:eastAsia="方正仿宋_GBK"/>
          <w:sz w:val="32"/>
          <w:szCs w:val="32"/>
        </w:rPr>
      </w:pPr>
      <w:r>
        <w:rPr>
          <w:rStyle w:val="8"/>
          <w:rFonts w:hint="eastAsia" w:ascii="方正仿宋_GBK" w:eastAsia="方正仿宋_GBK"/>
          <w:sz w:val="32"/>
          <w:szCs w:val="32"/>
        </w:rPr>
        <w:t>（四）一般公共预算财政拨款基本支出决算情况说明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2020年度一般公共财政拨款基本支出839.03万元。其中：人员经费667.27万元，较上年决算数增加32.55万元，增长5.13%，主要原因</w:t>
      </w:r>
      <w:r>
        <w:rPr>
          <w:rFonts w:ascii="方正仿宋_GBK" w:eastAsia="方正仿宋_GBK"/>
          <w:sz w:val="32"/>
          <w:szCs w:val="32"/>
          <w:shd w:val="clear" w:color="auto" w:fill="FFFFFF"/>
        </w:rPr>
        <w:t>一是住房公积金基数调增，二是机关事业单位工资调增。</w:t>
      </w:r>
      <w:r>
        <w:rPr>
          <w:rFonts w:hint="eastAsia" w:ascii="方正仿宋_GBK" w:eastAsia="方正仿宋_GBK"/>
          <w:sz w:val="32"/>
          <w:szCs w:val="32"/>
        </w:rPr>
        <w:t>人员经费用途主要包括</w:t>
      </w:r>
      <w:r>
        <w:rPr>
          <w:rFonts w:ascii="方正仿宋_GBK" w:eastAsia="方正仿宋_GBK"/>
          <w:sz w:val="32"/>
          <w:szCs w:val="32"/>
          <w:shd w:val="clear" w:color="auto" w:fill="FFFFFF"/>
        </w:rPr>
        <w:t>基本工资、津贴补贴、奖金、社会保障缴费等。</w:t>
      </w:r>
      <w:r>
        <w:rPr>
          <w:rFonts w:hint="eastAsia" w:ascii="方正仿宋_GBK" w:eastAsia="方正仿宋_GBK"/>
          <w:sz w:val="32"/>
          <w:szCs w:val="32"/>
        </w:rPr>
        <w:t>公用经费171.76万元，较上年决算数增加76.92万元，增长81.1%，主要原因是差旅费增加26万，其他商品和服务增加50万，主要为职工伙食费。公用经费用途主要包括</w:t>
      </w:r>
      <w:r>
        <w:rPr>
          <w:rFonts w:ascii="方正仿宋_GBK" w:eastAsia="方正仿宋_GBK"/>
          <w:sz w:val="32"/>
          <w:szCs w:val="32"/>
          <w:shd w:val="clear" w:color="auto" w:fill="FFFFFF"/>
        </w:rPr>
        <w:t>办公费、印刷费、水费、</w:t>
      </w:r>
      <w:r>
        <w:rPr>
          <w:rFonts w:hint="eastAsia" w:ascii="方正仿宋_GBK" w:eastAsia="方正仿宋_GBK"/>
          <w:sz w:val="32"/>
          <w:szCs w:val="32"/>
          <w:shd w:val="clear" w:color="auto" w:fill="FFFFFF"/>
        </w:rPr>
        <w:t>劳务费、差旅费、</w:t>
      </w:r>
      <w:r>
        <w:rPr>
          <w:rFonts w:ascii="方正仿宋_GBK" w:eastAsia="方正仿宋_GBK"/>
          <w:sz w:val="32"/>
          <w:szCs w:val="32"/>
          <w:shd w:val="clear" w:color="auto" w:fill="FFFFFF"/>
        </w:rPr>
        <w:t>培训费、工会经费以及公务用车运行维护费等。</w:t>
      </w:r>
    </w:p>
    <w:p>
      <w:pPr>
        <w:pStyle w:val="5"/>
        <w:shd w:val="clear" w:color="auto" w:fill="FFFFFF"/>
        <w:spacing w:before="0" w:beforeAutospacing="0" w:after="0" w:afterAutospacing="0" w:line="560" w:lineRule="exact"/>
        <w:ind w:firstLine="643" w:firstLineChars="200"/>
        <w:jc w:val="both"/>
        <w:outlineLvl w:val="0"/>
        <w:rPr>
          <w:rStyle w:val="8"/>
        </w:rPr>
      </w:pPr>
      <w:r>
        <w:rPr>
          <w:rStyle w:val="8"/>
          <w:rFonts w:hint="eastAsia" w:ascii="方正仿宋_GBK" w:eastAsia="方正仿宋_GBK"/>
          <w:sz w:val="32"/>
          <w:szCs w:val="32"/>
        </w:rPr>
        <w:t>（五）政府性基金预算收支决算情况说明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2020年度政府性基金预算财政拨款年初结转结余0万元，年末结转结余0万元。本年收入0万元，较上年决算数减少</w:t>
      </w:r>
      <w:r>
        <w:rPr>
          <w:rFonts w:hint="eastAsia" w:ascii="方正仿宋_GBK" w:eastAsia="方正仿宋_GBK"/>
          <w:color w:val="FF0000"/>
          <w:sz w:val="32"/>
          <w:szCs w:val="32"/>
        </w:rPr>
        <w:t xml:space="preserve"> </w:t>
      </w:r>
      <w:r>
        <w:rPr>
          <w:rFonts w:hint="eastAsia" w:ascii="方正仿宋_GBK" w:eastAsia="方正仿宋_GBK"/>
          <w:sz w:val="32"/>
          <w:szCs w:val="32"/>
        </w:rPr>
        <w:t>0.68万元，下降 100%，主要原因是本年度无政府性基金预算收入。本年支出0万元，较上年决算数减少</w:t>
      </w:r>
      <w:r>
        <w:rPr>
          <w:rFonts w:hint="eastAsia" w:ascii="方正仿宋_GBK" w:eastAsia="方正仿宋_GBK"/>
          <w:color w:val="FF0000"/>
          <w:sz w:val="32"/>
          <w:szCs w:val="32"/>
        </w:rPr>
        <w:t xml:space="preserve"> </w:t>
      </w:r>
      <w:r>
        <w:rPr>
          <w:rFonts w:hint="eastAsia" w:ascii="方正仿宋_GBK" w:eastAsia="方正仿宋_GBK"/>
          <w:sz w:val="32"/>
          <w:szCs w:val="32"/>
        </w:rPr>
        <w:t>0.68万元，下降100%，主要原因是本年度无政府性基金预算支出。</w:t>
      </w:r>
      <w:r>
        <w:rPr>
          <w:rFonts w:ascii="方正仿宋_GBK" w:eastAsia="方正仿宋_GBK"/>
          <w:color w:val="FF0000"/>
          <w:sz w:val="32"/>
          <w:szCs w:val="32"/>
        </w:rPr>
        <w:t xml:space="preserve"> </w:t>
      </w:r>
    </w:p>
    <w:p>
      <w:pPr>
        <w:pStyle w:val="5"/>
        <w:shd w:val="clear" w:color="auto" w:fill="FFFFFF"/>
        <w:spacing w:before="0" w:beforeAutospacing="0" w:after="0" w:afterAutospacing="0" w:line="560" w:lineRule="exact"/>
        <w:ind w:firstLine="643" w:firstLineChars="200"/>
        <w:jc w:val="both"/>
        <w:outlineLvl w:val="0"/>
        <w:rPr>
          <w:rStyle w:val="8"/>
        </w:rPr>
      </w:pPr>
      <w:r>
        <w:rPr>
          <w:rStyle w:val="8"/>
          <w:rFonts w:hint="eastAsia" w:ascii="方正仿宋_GBK" w:eastAsia="方正仿宋_GBK"/>
          <w:sz w:val="32"/>
          <w:szCs w:val="32"/>
        </w:rPr>
        <w:t>（六）国有资本经营预算财政拨款支出决算情况说明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本部门2020年度无国有资本经营预算财政拨款支出。</w:t>
      </w:r>
    </w:p>
    <w:p>
      <w:pPr>
        <w:pStyle w:val="5"/>
        <w:shd w:val="clear" w:color="auto" w:fill="FFFFFF"/>
        <w:spacing w:before="0" w:beforeAutospacing="0" w:after="0" w:afterAutospacing="0" w:line="560" w:lineRule="exact"/>
        <w:ind w:firstLine="640" w:firstLineChars="200"/>
        <w:jc w:val="both"/>
        <w:outlineLvl w:val="0"/>
        <w:rPr>
          <w:rFonts w:ascii="方正黑体_GBK" w:eastAsia="方正黑体_GBK"/>
          <w:b/>
          <w:bCs/>
        </w:rPr>
      </w:pPr>
      <w:r>
        <w:rPr>
          <w:rStyle w:val="8"/>
          <w:rFonts w:hint="eastAsia" w:ascii="方正黑体_GBK" w:eastAsia="方正黑体_GBK"/>
          <w:b w:val="0"/>
          <w:sz w:val="32"/>
          <w:szCs w:val="32"/>
        </w:rPr>
        <w:t>三、“三公”经费情况说明</w:t>
      </w:r>
    </w:p>
    <w:p>
      <w:pPr>
        <w:pStyle w:val="5"/>
        <w:shd w:val="clear" w:color="auto" w:fill="FFFFFF"/>
        <w:spacing w:before="0" w:beforeAutospacing="0" w:after="0" w:afterAutospacing="0" w:line="560" w:lineRule="exact"/>
        <w:ind w:firstLine="643" w:firstLineChars="200"/>
        <w:jc w:val="both"/>
        <w:outlineLvl w:val="1"/>
        <w:rPr>
          <w:rFonts w:ascii="方正仿宋_GBK" w:eastAsia="方正仿宋_GBK"/>
          <w:sz w:val="32"/>
          <w:szCs w:val="32"/>
        </w:rPr>
      </w:pPr>
      <w:r>
        <w:rPr>
          <w:rStyle w:val="8"/>
          <w:rFonts w:hint="eastAsia" w:ascii="方正仿宋_GBK" w:eastAsia="方正仿宋_GBK"/>
          <w:sz w:val="32"/>
          <w:szCs w:val="32"/>
        </w:rPr>
        <w:t>（一）“三公”经费支出总体情况说明。</w:t>
      </w:r>
    </w:p>
    <w:p>
      <w:pPr>
        <w:pStyle w:val="5"/>
        <w:widowControl w:val="0"/>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2020年度“三公”经费支出共计1.67万元，较年初预算数减少</w:t>
      </w:r>
      <w:r>
        <w:rPr>
          <w:rFonts w:hint="eastAsia" w:ascii="方正仿宋_GBK" w:eastAsia="方正仿宋_GBK"/>
          <w:color w:val="FF0000"/>
          <w:sz w:val="32"/>
          <w:szCs w:val="32"/>
        </w:rPr>
        <w:t xml:space="preserve"> </w:t>
      </w:r>
      <w:r>
        <w:rPr>
          <w:rFonts w:hint="eastAsia" w:ascii="方正仿宋_GBK" w:eastAsia="方正仿宋_GBK"/>
          <w:sz w:val="32"/>
          <w:szCs w:val="32"/>
        </w:rPr>
        <w:t>8.31万元，下降</w:t>
      </w:r>
      <w:r>
        <w:rPr>
          <w:rFonts w:hint="eastAsia" w:ascii="方正仿宋_GBK" w:eastAsia="方正仿宋_GBK"/>
          <w:color w:val="FF0000"/>
          <w:sz w:val="32"/>
          <w:szCs w:val="32"/>
        </w:rPr>
        <w:t xml:space="preserve"> </w:t>
      </w:r>
      <w:r>
        <w:rPr>
          <w:rFonts w:hint="eastAsia" w:ascii="方正仿宋_GBK" w:eastAsia="方正仿宋_GBK"/>
          <w:sz w:val="32"/>
          <w:szCs w:val="32"/>
        </w:rPr>
        <w:t>83.26%，主要原因一是认真贯彻落实中央八项规定精神，按照只减不增的要求从严控制“三公”经费，全年实际支出较预算有所下降。二是强化公务接待支出管理，严格遵守公务接待开支范围和开支标准。三是进一步规范因公出国（境）活动，今年未安排人员出国出访。较上年支出数增加0.62万元，增长59.05%，主要原因是公务车渝</w:t>
      </w:r>
      <w:r>
        <w:rPr>
          <w:rFonts w:ascii="方正仿宋_GBK" w:eastAsia="方正仿宋_GBK"/>
          <w:sz w:val="32"/>
          <w:szCs w:val="32"/>
        </w:rPr>
        <w:t>A-XZ769使用年限较长，运行维护成本增加，所以本年公务用车运行维护费与上年相比增加了</w:t>
      </w:r>
      <w:r>
        <w:rPr>
          <w:rFonts w:hint="eastAsia" w:ascii="方正仿宋_GBK" w:eastAsia="方正仿宋_GBK"/>
          <w:sz w:val="32"/>
          <w:szCs w:val="32"/>
        </w:rPr>
        <w:t>0.62万</w:t>
      </w:r>
      <w:r>
        <w:rPr>
          <w:rFonts w:ascii="方正仿宋_GBK" w:eastAsia="方正仿宋_GBK"/>
          <w:sz w:val="32"/>
          <w:szCs w:val="32"/>
        </w:rPr>
        <w:t>元。</w:t>
      </w:r>
    </w:p>
    <w:p>
      <w:pPr>
        <w:pStyle w:val="5"/>
        <w:shd w:val="clear" w:color="auto" w:fill="FFFFFF"/>
        <w:spacing w:before="0" w:beforeAutospacing="0" w:after="0" w:afterAutospacing="0" w:line="560" w:lineRule="exact"/>
        <w:ind w:firstLine="643" w:firstLineChars="200"/>
        <w:jc w:val="both"/>
        <w:outlineLvl w:val="1"/>
        <w:rPr>
          <w:rFonts w:ascii="方正仿宋_GBK" w:eastAsia="方正仿宋_GBK"/>
          <w:sz w:val="32"/>
          <w:szCs w:val="32"/>
        </w:rPr>
      </w:pPr>
      <w:r>
        <w:rPr>
          <w:rStyle w:val="8"/>
          <w:rFonts w:hint="eastAsia" w:ascii="方正仿宋_GBK" w:eastAsia="方正仿宋_GBK"/>
          <w:sz w:val="32"/>
          <w:szCs w:val="32"/>
        </w:rPr>
        <w:t>（二）“三公”经费分项支出情况。</w:t>
      </w:r>
    </w:p>
    <w:p>
      <w:pPr>
        <w:pStyle w:val="5"/>
        <w:shd w:val="clear" w:color="auto" w:fill="FFFFFF"/>
        <w:spacing w:before="0" w:beforeAutospacing="0" w:after="0" w:afterAutospacing="0" w:line="560" w:lineRule="exact"/>
        <w:ind w:firstLine="800" w:firstLineChars="250"/>
        <w:jc w:val="both"/>
        <w:rPr>
          <w:rFonts w:ascii="方正仿宋_GBK" w:eastAsia="方正仿宋_GBK"/>
          <w:sz w:val="32"/>
          <w:szCs w:val="32"/>
        </w:rPr>
      </w:pPr>
      <w:r>
        <w:rPr>
          <w:rFonts w:hint="eastAsia" w:ascii="方正仿宋_GBK" w:eastAsia="方正仿宋_GBK"/>
          <w:sz w:val="32"/>
          <w:szCs w:val="32"/>
        </w:rPr>
        <w:t>2020年度本部门因公出国（境）费用0万元，与上年决算数持平。费用支出为0万元，与年初预算数、上年支出数持平。</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公务车购置费0万元，与上年决算数持平。费用支出为0万元，与年初预算数、上年支出数持平。</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公务车运行维护费1.67万元，主要用于机要文件交换、市内因公出行、财政业务检查等工作所需车辆的燃料费、维修费、过桥过路费、保险费等。费用支出较年初预算数</w:t>
      </w:r>
      <w:r>
        <w:rPr>
          <w:rFonts w:hint="eastAsia" w:ascii="方正仿宋_GBK" w:eastAsia="方正仿宋_GBK"/>
          <w:color w:val="000000" w:themeColor="text1"/>
          <w:sz w:val="32"/>
          <w:szCs w:val="32"/>
        </w:rPr>
        <w:t>减少</w:t>
      </w:r>
      <w:r>
        <w:rPr>
          <w:rFonts w:hint="eastAsia" w:ascii="方正仿宋_GBK" w:eastAsia="方正仿宋_GBK"/>
          <w:color w:val="FF0000"/>
          <w:sz w:val="32"/>
          <w:szCs w:val="32"/>
        </w:rPr>
        <w:t xml:space="preserve"> </w:t>
      </w:r>
      <w:r>
        <w:rPr>
          <w:rFonts w:hint="eastAsia" w:ascii="方正仿宋_GBK" w:eastAsia="方正仿宋_GBK"/>
          <w:sz w:val="32"/>
          <w:szCs w:val="32"/>
        </w:rPr>
        <w:t>4.31万元，下降</w:t>
      </w:r>
      <w:r>
        <w:rPr>
          <w:rFonts w:hint="eastAsia" w:ascii="方正仿宋_GBK" w:eastAsia="方正仿宋_GBK"/>
          <w:color w:val="FF0000"/>
          <w:sz w:val="32"/>
          <w:szCs w:val="32"/>
        </w:rPr>
        <w:t xml:space="preserve"> </w:t>
      </w:r>
      <w:r>
        <w:rPr>
          <w:rFonts w:hint="eastAsia" w:ascii="方正仿宋_GBK" w:eastAsia="方正仿宋_GBK"/>
          <w:sz w:val="32"/>
          <w:szCs w:val="32"/>
        </w:rPr>
        <w:t>72.07%，主要原因是认真贯彻落实中央八项规定精神，按照只减不增的要求从严控制“三公”经费，全年实际支出较预算有所下降。较上年支出数增加0.62万元，增长59.05%，主要原因是公务车渝</w:t>
      </w:r>
      <w:r>
        <w:rPr>
          <w:rFonts w:ascii="方正仿宋_GBK" w:eastAsia="方正仿宋_GBK"/>
          <w:sz w:val="32"/>
          <w:szCs w:val="32"/>
        </w:rPr>
        <w:t>A-XZ769使用年限较长，运行维护成本增加，所以本年公务用车运行维护费与上年相比增加了</w:t>
      </w:r>
      <w:r>
        <w:rPr>
          <w:rFonts w:hint="eastAsia" w:ascii="方正仿宋_GBK" w:eastAsia="方正仿宋_GBK"/>
          <w:sz w:val="32"/>
          <w:szCs w:val="32"/>
        </w:rPr>
        <w:t>0.62万</w:t>
      </w:r>
      <w:r>
        <w:rPr>
          <w:rFonts w:ascii="方正仿宋_GBK" w:eastAsia="方正仿宋_GBK"/>
          <w:sz w:val="32"/>
          <w:szCs w:val="32"/>
        </w:rPr>
        <w:t>元。</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公务接待费0万元，</w:t>
      </w:r>
      <w:r>
        <w:rPr>
          <w:rFonts w:ascii="方正仿宋_GBK" w:eastAsia="方正仿宋_GBK"/>
          <w:sz w:val="32"/>
          <w:szCs w:val="32"/>
          <w:shd w:val="clear" w:color="auto" w:fill="FFFFFF"/>
        </w:rPr>
        <w:t>费用支出较年初预算数减少</w:t>
      </w:r>
      <w:r>
        <w:rPr>
          <w:rFonts w:hint="eastAsia" w:ascii="方正仿宋_GBK" w:eastAsia="方正仿宋_GBK"/>
          <w:sz w:val="32"/>
          <w:szCs w:val="32"/>
          <w:shd w:val="clear" w:color="auto" w:fill="FFFFFF"/>
        </w:rPr>
        <w:t>4</w:t>
      </w:r>
      <w:r>
        <w:rPr>
          <w:rFonts w:ascii="方正仿宋_GBK" w:eastAsia="方正仿宋_GBK"/>
          <w:sz w:val="32"/>
          <w:szCs w:val="32"/>
          <w:shd w:val="clear" w:color="auto" w:fill="FFFFFF"/>
        </w:rPr>
        <w:t>万元，下降100%，主要原因是严格落实中央八项规定，严控公务接待开支范围和标准。较上年支出数增加0万元，增长0%，与上年度持平。</w:t>
      </w:r>
    </w:p>
    <w:p>
      <w:pPr>
        <w:pStyle w:val="5"/>
        <w:shd w:val="clear" w:color="auto" w:fill="FFFFFF"/>
        <w:spacing w:before="0" w:beforeAutospacing="0" w:after="0" w:afterAutospacing="0" w:line="560" w:lineRule="exact"/>
        <w:ind w:firstLine="643" w:firstLineChars="200"/>
        <w:jc w:val="both"/>
        <w:outlineLvl w:val="1"/>
        <w:rPr>
          <w:rFonts w:ascii="方正仿宋_GBK" w:eastAsia="方正仿宋_GBK"/>
          <w:sz w:val="32"/>
          <w:szCs w:val="32"/>
        </w:rPr>
      </w:pPr>
      <w:r>
        <w:rPr>
          <w:rStyle w:val="8"/>
          <w:rFonts w:hint="eastAsia" w:ascii="方正仿宋_GBK" w:eastAsia="方正仿宋_GBK"/>
          <w:sz w:val="32"/>
          <w:szCs w:val="32"/>
        </w:rPr>
        <w:t>（三）“三公”经费实物量情况。</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本部门因公出国（境）共计0个团组，0人；公务用车购置0辆，公务车保有量为1辆；国内公务接待0批次0人，其中：国内外事接待0批次，0人；国（境）外公务接待0批次，0人。2020年本部门人均接待费0元，车均购置费0万元，车均维护费1.67万元。</w:t>
      </w:r>
    </w:p>
    <w:p>
      <w:pPr>
        <w:pStyle w:val="5"/>
        <w:shd w:val="clear" w:color="auto" w:fill="FFFFFF"/>
        <w:spacing w:before="0" w:beforeAutospacing="0" w:after="0" w:afterAutospacing="0" w:line="560" w:lineRule="exact"/>
        <w:ind w:firstLine="640" w:firstLineChars="200"/>
        <w:jc w:val="both"/>
        <w:outlineLvl w:val="0"/>
        <w:rPr>
          <w:rStyle w:val="8"/>
        </w:rPr>
      </w:pPr>
      <w:r>
        <w:rPr>
          <w:rStyle w:val="8"/>
          <w:rFonts w:hint="eastAsia" w:ascii="方正黑体_GBK" w:eastAsia="方正黑体_GBK"/>
          <w:b w:val="0"/>
          <w:sz w:val="32"/>
          <w:szCs w:val="32"/>
        </w:rPr>
        <w:t>四、其他需要说明的事项</w:t>
      </w:r>
    </w:p>
    <w:p>
      <w:pPr>
        <w:pStyle w:val="5"/>
        <w:widowControl w:val="0"/>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（一）机关运行经费情况说明。</w:t>
      </w:r>
      <w:r>
        <w:rPr>
          <w:rFonts w:hint="eastAsia" w:ascii="方正仿宋_GBK" w:eastAsia="方正仿宋_GBK"/>
          <w:sz w:val="32"/>
          <w:szCs w:val="32"/>
        </w:rPr>
        <w:t>2020年度本部门机关运行经费支出171.76万元，机关运行经费主要用于开支</w:t>
      </w:r>
      <w:r>
        <w:rPr>
          <w:rFonts w:ascii="方正仿宋_GBK" w:eastAsia="方正仿宋_GBK"/>
          <w:sz w:val="32"/>
          <w:szCs w:val="32"/>
          <w:shd w:val="clear" w:color="auto" w:fill="FFFFFF"/>
        </w:rPr>
        <w:t>办公费、印刷费、水费、</w:t>
      </w:r>
      <w:r>
        <w:rPr>
          <w:rFonts w:hint="eastAsia" w:ascii="方正仿宋_GBK" w:eastAsia="方正仿宋_GBK"/>
          <w:sz w:val="32"/>
          <w:szCs w:val="32"/>
          <w:shd w:val="clear" w:color="auto" w:fill="FFFFFF"/>
        </w:rPr>
        <w:t>劳务费、</w:t>
      </w:r>
      <w:r>
        <w:rPr>
          <w:rFonts w:ascii="方正仿宋_GBK" w:eastAsia="方正仿宋_GBK"/>
          <w:sz w:val="32"/>
          <w:szCs w:val="32"/>
          <w:shd w:val="clear" w:color="auto" w:fill="FFFFFF"/>
        </w:rPr>
        <w:t>工会经费、维修（护）费、公务用车运行维护费等</w:t>
      </w:r>
      <w:r>
        <w:rPr>
          <w:rFonts w:hint="eastAsia" w:ascii="方正仿宋_GBK" w:eastAsia="方正仿宋_GBK"/>
          <w:sz w:val="32"/>
          <w:szCs w:val="32"/>
        </w:rPr>
        <w:t>。机关运行经费较上年决算数增加76.92万元，增长 81.10%，主要原因是差旅费增加26万，其他商品和服务增加50万，主要为职工伙食费。</w:t>
      </w:r>
    </w:p>
    <w:p>
      <w:pPr>
        <w:pStyle w:val="5"/>
        <w:shd w:val="clear" w:color="auto" w:fill="FFFFFF"/>
        <w:spacing w:before="0" w:beforeAutospacing="0" w:after="0" w:afterAutospacing="0"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其中：本年度会议费支出0.25万元，较上年决算数减少0.02万元，下降7.4%，主要原因是本年度</w:t>
      </w:r>
      <w:r>
        <w:rPr>
          <w:rFonts w:ascii="方正仿宋_GBK" w:eastAsia="方正仿宋_GBK"/>
          <w:sz w:val="32"/>
          <w:szCs w:val="32"/>
          <w:shd w:val="clear" w:color="auto" w:fill="FFFFFF"/>
        </w:rPr>
        <w:t>开展会议的后勤保障费用</w:t>
      </w:r>
      <w:r>
        <w:rPr>
          <w:rFonts w:hint="eastAsia" w:ascii="方正仿宋_GBK" w:eastAsia="方正仿宋_GBK"/>
          <w:sz w:val="32"/>
          <w:szCs w:val="32"/>
          <w:shd w:val="clear" w:color="auto" w:fill="FFFFFF"/>
        </w:rPr>
        <w:t>减少</w:t>
      </w:r>
      <w:r>
        <w:rPr>
          <w:rFonts w:hint="eastAsia" w:ascii="方正仿宋_GBK" w:eastAsia="方正仿宋_GBK"/>
          <w:sz w:val="32"/>
          <w:szCs w:val="32"/>
        </w:rPr>
        <w:t>。本年度培训费支出159.92万元，较上年决算数减少</w:t>
      </w:r>
      <w:r>
        <w:rPr>
          <w:rFonts w:hint="eastAsia" w:ascii="方正仿宋_GBK" w:eastAsia="方正仿宋_GBK"/>
          <w:color w:val="FF0000"/>
          <w:sz w:val="32"/>
          <w:szCs w:val="32"/>
        </w:rPr>
        <w:t xml:space="preserve"> </w:t>
      </w:r>
      <w:r>
        <w:rPr>
          <w:rFonts w:hint="eastAsia" w:ascii="方正仿宋_GBK" w:eastAsia="方正仿宋_GBK"/>
          <w:sz w:val="32"/>
          <w:szCs w:val="32"/>
        </w:rPr>
        <w:t>97.26万元，下降37.82%，主要原因是受疫情影响，</w:t>
      </w:r>
      <w:r>
        <w:rPr>
          <w:rFonts w:ascii="方正仿宋_GBK" w:eastAsia="方正仿宋_GBK"/>
          <w:sz w:val="32"/>
          <w:szCs w:val="32"/>
          <w:shd w:val="clear" w:color="auto" w:fill="FFFFFF"/>
        </w:rPr>
        <w:t>本年度培训班次减少</w:t>
      </w:r>
      <w:r>
        <w:rPr>
          <w:rFonts w:hint="eastAsia" w:ascii="方正仿宋_GBK" w:eastAsia="方正仿宋_GBK"/>
          <w:sz w:val="32"/>
          <w:szCs w:val="32"/>
          <w:shd w:val="clear" w:color="auto" w:fill="FFFFFF"/>
        </w:rPr>
        <w:t>，</w:t>
      </w:r>
      <w:r>
        <w:rPr>
          <w:rFonts w:ascii="方正仿宋_GBK" w:eastAsia="方正仿宋_GBK"/>
          <w:sz w:val="32"/>
          <w:szCs w:val="32"/>
          <w:shd w:val="clear" w:color="auto" w:fill="FFFFFF"/>
        </w:rPr>
        <w:t>用于培训的课时费、印刷费、租车费等费用也相应减少。</w:t>
      </w:r>
    </w:p>
    <w:p>
      <w:pPr>
        <w:widowControl w:val="0"/>
        <w:spacing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（二）国有资产占用情况说明。</w:t>
      </w:r>
      <w:r>
        <w:rPr>
          <w:rFonts w:hint="eastAsia" w:ascii="方正仿宋_GBK" w:eastAsia="方正仿宋_GBK"/>
          <w:sz w:val="32"/>
          <w:szCs w:val="32"/>
        </w:rPr>
        <w:t>截至2020年12月31日，本部门共有车辆1辆，其中，副部（省）级及以上领导用车0辆、主要领导干部用车0辆、机要通信用车1辆、应急保障用车0辆、执法执勤用车0辆，特种专业技术用车0辆，离退休干部用车0辆，其他用车0辆。单价50万元（含）以上通用设备2台（套），单价100万元（含）以上专用设备0台（套）。</w:t>
      </w:r>
    </w:p>
    <w:p>
      <w:pPr>
        <w:pStyle w:val="5"/>
        <w:shd w:val="clear" w:color="auto" w:fill="FFFFFF"/>
        <w:spacing w:before="0" w:beforeAutospacing="0" w:after="0" w:afterAutospacing="0" w:line="56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（三）政府采购支出情况说明。</w:t>
      </w:r>
    </w:p>
    <w:p>
      <w:pPr>
        <w:pStyle w:val="5"/>
        <w:shd w:val="clear" w:color="auto" w:fill="FFFFFF"/>
        <w:spacing w:before="0" w:beforeAutospacing="0" w:after="0" w:afterAutospacing="0"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2020年度我单位未发生政府采购事项，无相关经费支出。</w:t>
      </w:r>
    </w:p>
    <w:p>
      <w:pPr>
        <w:pStyle w:val="5"/>
        <w:shd w:val="clear" w:color="auto" w:fill="FFFFFF"/>
        <w:spacing w:before="0" w:beforeAutospacing="0" w:after="0" w:afterAutospacing="0" w:line="560" w:lineRule="exact"/>
        <w:ind w:firstLine="643" w:firstLineChars="200"/>
        <w:jc w:val="both"/>
        <w:outlineLvl w:val="0"/>
        <w:rPr>
          <w:rStyle w:val="8"/>
          <w:rFonts w:ascii="方正黑体_GBK" w:eastAsia="方正黑体_GBK"/>
        </w:rPr>
      </w:pPr>
      <w:r>
        <w:rPr>
          <w:rStyle w:val="8"/>
          <w:rFonts w:hint="eastAsia" w:ascii="方正黑体_GBK" w:eastAsia="方正黑体_GBK"/>
          <w:sz w:val="32"/>
          <w:szCs w:val="32"/>
        </w:rPr>
        <w:t>五、预算绩效管理情况说明</w:t>
      </w:r>
    </w:p>
    <w:p>
      <w:pPr>
        <w:pStyle w:val="12"/>
        <w:tabs>
          <w:tab w:val="center" w:pos="4153"/>
          <w:tab w:val="left" w:pos="7275"/>
        </w:tabs>
        <w:spacing w:line="56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（一）预算绩效管理工作开展情况</w:t>
      </w:r>
    </w:p>
    <w:p>
      <w:pPr>
        <w:pStyle w:val="12"/>
        <w:tabs>
          <w:tab w:val="center" w:pos="4153"/>
          <w:tab w:val="left" w:pos="7275"/>
        </w:tabs>
        <w:spacing w:line="560" w:lineRule="exact"/>
        <w:ind w:firstLine="640"/>
        <w:rPr>
          <w:rFonts w:ascii="方正仿宋_GBK" w:hAnsi="宋体" w:eastAsia="方正仿宋_GBK" w:cs="宋体"/>
          <w:color w:val="FF0000"/>
          <w:kern w:val="0"/>
          <w:sz w:val="32"/>
          <w:szCs w:val="32"/>
        </w:rPr>
      </w:pPr>
      <w:r>
        <w:rPr>
          <w:rFonts w:hint="eastAsia" w:ascii="方正仿宋_GBK" w:hAnsi="宋体" w:eastAsia="方正仿宋_GBK" w:cs="宋体"/>
          <w:kern w:val="0"/>
          <w:sz w:val="32"/>
          <w:szCs w:val="32"/>
        </w:rPr>
        <w:t>根据预算绩效管理要求，本部门对5个项目开展了绩效自评，其中，以填报目标自评表形式开展自评5项，涉及资金3439.12万元。</w:t>
      </w:r>
    </w:p>
    <w:p>
      <w:pPr>
        <w:pStyle w:val="12"/>
        <w:tabs>
          <w:tab w:val="center" w:pos="4153"/>
          <w:tab w:val="left" w:pos="7275"/>
        </w:tabs>
        <w:spacing w:line="56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（二）绩效自评结果</w:t>
      </w:r>
    </w:p>
    <w:p>
      <w:pPr>
        <w:pStyle w:val="12"/>
        <w:tabs>
          <w:tab w:val="center" w:pos="4153"/>
          <w:tab w:val="left" w:pos="7275"/>
        </w:tabs>
        <w:spacing w:line="56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1.绩效自评表</w:t>
      </w: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p>
      <w:pPr>
        <w:autoSpaceDN w:val="0"/>
        <w:spacing w:line="594" w:lineRule="exact"/>
        <w:rPr>
          <w:rFonts w:ascii="方正仿宋_GBK" w:eastAsia="方正仿宋_GBK"/>
          <w:b/>
          <w:bCs/>
          <w:color w:val="FF0000"/>
          <w:sz w:val="32"/>
          <w:szCs w:val="32"/>
        </w:rPr>
      </w:pPr>
    </w:p>
    <w:tbl>
      <w:tblPr>
        <w:tblStyle w:val="6"/>
        <w:tblW w:w="0" w:type="auto"/>
        <w:tblInd w:w="108" w:type="dxa"/>
        <w:tblLayout w:type="autofit"/>
        <w:tblCellMar>
          <w:top w:w="0" w:type="dxa"/>
          <w:left w:w="108" w:type="dxa"/>
          <w:bottom w:w="0" w:type="dxa"/>
          <w:right w:w="108" w:type="dxa"/>
        </w:tblCellMar>
      </w:tblPr>
      <w:tblGrid>
        <w:gridCol w:w="628"/>
        <w:gridCol w:w="750"/>
        <w:gridCol w:w="288"/>
        <w:gridCol w:w="288"/>
        <w:gridCol w:w="936"/>
        <w:gridCol w:w="722"/>
        <w:gridCol w:w="417"/>
        <w:gridCol w:w="839"/>
        <w:gridCol w:w="732"/>
        <w:gridCol w:w="952"/>
        <w:gridCol w:w="952"/>
        <w:gridCol w:w="996"/>
      </w:tblGrid>
      <w:tr>
        <w:tblPrEx>
          <w:tblCellMar>
            <w:top w:w="0" w:type="dxa"/>
            <w:left w:w="108" w:type="dxa"/>
            <w:bottom w:w="0" w:type="dxa"/>
            <w:right w:w="108" w:type="dxa"/>
          </w:tblCellMar>
        </w:tblPrEx>
        <w:trPr>
          <w:trHeight w:val="601" w:hRule="atLeast"/>
        </w:trPr>
        <w:tc>
          <w:tcPr>
            <w:tcW w:w="0" w:type="auto"/>
            <w:gridSpan w:val="12"/>
            <w:tcBorders>
              <w:top w:val="nil"/>
              <w:left w:val="nil"/>
              <w:bottom w:val="nil"/>
              <w:right w:val="nil"/>
            </w:tcBorders>
            <w:shd w:val="clear" w:color="auto" w:fill="auto"/>
            <w:vAlign w:val="center"/>
          </w:tcPr>
          <w:p>
            <w:pPr>
              <w:autoSpaceDN w:val="0"/>
              <w:rPr>
                <w:rFonts w:ascii="方正小标宋_GBK" w:hAnsi="Calibri" w:eastAsia="方正小标宋_GBK"/>
                <w:color w:val="000000"/>
                <w:sz w:val="36"/>
                <w:szCs w:val="36"/>
              </w:rPr>
            </w:pPr>
          </w:p>
          <w:p>
            <w:pPr>
              <w:autoSpaceDN w:val="0"/>
              <w:rPr>
                <w:rFonts w:hint="eastAsia" w:ascii="方正小标宋_GBK" w:eastAsia="方正小标宋_GBK"/>
                <w:color w:val="000000"/>
                <w:sz w:val="36"/>
                <w:szCs w:val="36"/>
              </w:rPr>
            </w:pPr>
          </w:p>
          <w:p>
            <w:pPr>
              <w:autoSpaceDN w:val="0"/>
              <w:rPr>
                <w:rFonts w:ascii="方正小标宋_GBK" w:eastAsia="方正小标宋_GBK"/>
                <w:color w:val="000000"/>
                <w:sz w:val="36"/>
                <w:szCs w:val="36"/>
              </w:rPr>
            </w:pPr>
          </w:p>
          <w:p>
            <w:pPr>
              <w:autoSpaceDN w:val="0"/>
              <w:jc w:val="center"/>
              <w:rPr>
                <w:rFonts w:ascii="方正小标宋_GBK" w:hAnsi="Calibri" w:eastAsia="方正小标宋_GBK"/>
                <w:color w:val="000000"/>
                <w:sz w:val="36"/>
                <w:szCs w:val="36"/>
              </w:rPr>
            </w:pPr>
            <w:r>
              <w:rPr>
                <w:rFonts w:hint="eastAsia" w:ascii="方正小标宋_GBK" w:eastAsia="方正小标宋_GBK"/>
                <w:color w:val="000000"/>
                <w:sz w:val="36"/>
                <w:szCs w:val="36"/>
              </w:rPr>
              <w:t>一级项目绩效自评表样</w:t>
            </w:r>
          </w:p>
        </w:tc>
      </w:tr>
      <w:tr>
        <w:tblPrEx>
          <w:tblCellMar>
            <w:top w:w="0" w:type="dxa"/>
            <w:left w:w="108" w:type="dxa"/>
            <w:bottom w:w="0" w:type="dxa"/>
            <w:right w:w="108" w:type="dxa"/>
          </w:tblCellMar>
        </w:tblPrEx>
        <w:trPr>
          <w:trHeight w:val="778" w:hRule="atLeast"/>
        </w:trPr>
        <w:tc>
          <w:tcPr>
            <w:tcW w:w="628"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1326"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干部培训费　</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2020B1016　</w:t>
            </w:r>
          </w:p>
        </w:tc>
        <w:tc>
          <w:tcPr>
            <w:tcW w:w="0" w:type="auto"/>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自评总分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98　</w:t>
            </w:r>
          </w:p>
        </w:tc>
      </w:tr>
      <w:tr>
        <w:tblPrEx>
          <w:tblCellMar>
            <w:top w:w="0" w:type="dxa"/>
            <w:left w:w="108" w:type="dxa"/>
            <w:bottom w:w="0" w:type="dxa"/>
            <w:right w:w="108" w:type="dxa"/>
          </w:tblCellMar>
        </w:tblPrEx>
        <w:trPr>
          <w:trHeight w:val="601"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1326"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中国共产党重庆市南岸区委员会党校</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行财科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联系人</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李飞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0" w:type="auto"/>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18983217231　</w:t>
            </w:r>
          </w:p>
        </w:tc>
      </w:tr>
      <w:tr>
        <w:tblPrEx>
          <w:tblCellMar>
            <w:top w:w="0" w:type="dxa"/>
            <w:left w:w="108" w:type="dxa"/>
            <w:bottom w:w="0" w:type="dxa"/>
            <w:right w:w="108" w:type="dxa"/>
          </w:tblCellMar>
        </w:tblPrEx>
        <w:trPr>
          <w:cantSplit/>
          <w:trHeight w:val="601" w:hRule="atLeast"/>
        </w:trPr>
        <w:tc>
          <w:tcPr>
            <w:tcW w:w="628"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038"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p>
        </w:tc>
        <w:tc>
          <w:tcPr>
            <w:tcW w:w="122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权重</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执行率得分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r>
      <w:tr>
        <w:tblPrEx>
          <w:tblCellMar>
            <w:top w:w="0" w:type="dxa"/>
            <w:left w:w="108" w:type="dxa"/>
            <w:bottom w:w="0" w:type="dxa"/>
            <w:right w:w="108" w:type="dxa"/>
          </w:tblCellMar>
        </w:tblPrEx>
        <w:trPr>
          <w:cantSplit/>
          <w:trHeight w:val="601" w:hRule="atLeast"/>
        </w:trPr>
        <w:tc>
          <w:tcPr>
            <w:tcW w:w="628"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038"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22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305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305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305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tblPrEx>
          <w:tblCellMar>
            <w:top w:w="0" w:type="dxa"/>
            <w:left w:w="108" w:type="dxa"/>
            <w:bottom w:w="0" w:type="dxa"/>
            <w:right w:w="108" w:type="dxa"/>
          </w:tblCellMar>
        </w:tblPrEx>
        <w:trPr>
          <w:cantSplit/>
          <w:trHeight w:val="601" w:hRule="atLeast"/>
        </w:trPr>
        <w:tc>
          <w:tcPr>
            <w:tcW w:w="628"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038" w:type="dxa"/>
            <w:gridSpan w:val="2"/>
            <w:tcBorders>
              <w:top w:val="nil"/>
              <w:left w:val="nil"/>
              <w:bottom w:val="single" w:color="auto" w:sz="4" w:space="0"/>
              <w:right w:val="nil"/>
            </w:tcBorders>
            <w:shd w:val="clear" w:color="auto" w:fill="auto"/>
            <w:vAlign w:val="center"/>
          </w:tcPr>
          <w:p>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22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305　</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305</w:t>
            </w:r>
          </w:p>
        </w:tc>
        <w:tc>
          <w:tcPr>
            <w:tcW w:w="0" w:type="auto"/>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305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10</w:t>
            </w:r>
          </w:p>
        </w:tc>
      </w:tr>
      <w:tr>
        <w:tblPrEx>
          <w:tblCellMar>
            <w:top w:w="0" w:type="dxa"/>
            <w:left w:w="108" w:type="dxa"/>
            <w:bottom w:w="0" w:type="dxa"/>
            <w:right w:w="108" w:type="dxa"/>
          </w:tblCellMar>
        </w:tblPrEx>
        <w:trPr>
          <w:cantSplit/>
          <w:trHeight w:val="601" w:hRule="atLeast"/>
        </w:trPr>
        <w:tc>
          <w:tcPr>
            <w:tcW w:w="628"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262"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628"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2262"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全面完成区干教领导小组及干部培训主管部门下达的培训任务。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全面完成区干教领导小组及干部培训主管部门下达的培训任务。</w:t>
            </w:r>
          </w:p>
        </w:tc>
        <w:tc>
          <w:tcPr>
            <w:tcW w:w="0" w:type="auto"/>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较好的完成了区干教领导小组及干部培训主管部门下达的培训任务。紧紧围绕区委政府中心工作，把严实要求贯穿干部教育培训全过程，为培养造就信念坚定、为民服务、勤政务实、敢于担当、清正廉洁的好干部，为加快我区经济社会发展提供了思想政治保证、人才保证和智力支持。　</w:t>
            </w:r>
          </w:p>
        </w:tc>
      </w:tr>
      <w:tr>
        <w:tblPrEx>
          <w:tblCellMar>
            <w:top w:w="0" w:type="dxa"/>
            <w:left w:w="108" w:type="dxa"/>
            <w:bottom w:w="0" w:type="dxa"/>
            <w:right w:w="108" w:type="dxa"/>
          </w:tblCellMar>
        </w:tblPrEx>
        <w:trPr>
          <w:cantSplit/>
          <w:trHeight w:val="601" w:hRule="atLeast"/>
        </w:trPr>
        <w:tc>
          <w:tcPr>
            <w:tcW w:w="628" w:type="dxa"/>
            <w:vMerge w:val="restart"/>
            <w:tcBorders>
              <w:top w:val="nil"/>
              <w:left w:val="single" w:color="auto" w:sz="4" w:space="0"/>
              <w:right w:val="single" w:color="auto" w:sz="4" w:space="0"/>
            </w:tcBorders>
            <w:shd w:val="clear" w:color="auto" w:fill="auto"/>
            <w:textDirection w:val="tbRlV"/>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0" w:type="auto"/>
            <w:gridSpan w:val="2"/>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培训干部人次数　</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人次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8000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10202</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14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14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培训班次　</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个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40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33</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13</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11</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预算执行率　</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r>
              <w:rPr>
                <w:rFonts w:hint="eastAsia" w:ascii="方正仿宋_GBK" w:eastAsia="方正仿宋_GBK"/>
                <w:color w:val="000000"/>
                <w:sz w:val="18"/>
                <w:szCs w:val="18"/>
                <w:lang w:val="en-US" w:eastAsia="zh-CN"/>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13</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13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bottom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综合考评等次　</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定性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无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restart"/>
            <w:tcBorders>
              <w:top w:val="single" w:color="auto" w:sz="4" w:space="0"/>
              <w:left w:val="single" w:color="auto" w:sz="4" w:space="0"/>
              <w:right w:val="single" w:color="auto" w:sz="4" w:space="0"/>
            </w:tcBorders>
            <w:shd w:val="clear" w:color="auto" w:fill="auto"/>
            <w:textDirection w:val="tbRlV"/>
            <w:vAlign w:val="center"/>
          </w:tcPr>
          <w:p>
            <w:pPr>
              <w:ind w:left="113" w:right="113"/>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计量</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单位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性质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调整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完成值</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得分系数</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指标权重</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指标得分</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是否核心</w:t>
            </w:r>
            <w:r>
              <w:rPr>
                <w:rFonts w:hint="eastAsia" w:ascii="方正仿宋_GBK" w:eastAsia="方正仿宋_GBK"/>
                <w:color w:val="000000"/>
                <w:sz w:val="18"/>
                <w:szCs w:val="18"/>
              </w:rPr>
              <w:br w:type="textWrapping" w:clear="all"/>
            </w:r>
            <w:r>
              <w:rPr>
                <w:rFonts w:hint="eastAsia" w:ascii="方正仿宋_GBK" w:eastAsia="方正仿宋_GBK"/>
                <w:color w:val="000000"/>
                <w:sz w:val="18"/>
                <w:szCs w:val="18"/>
              </w:rPr>
              <w:t>指标</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single" w:color="auto" w:sz="4" w:space="0"/>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学员培训合格率</w:t>
            </w:r>
          </w:p>
        </w:tc>
        <w:tc>
          <w:tcPr>
            <w:tcW w:w="0" w:type="auto"/>
            <w:gridSpan w:val="2"/>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97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8</w:t>
            </w:r>
          </w:p>
        </w:tc>
        <w:tc>
          <w:tcPr>
            <w:tcW w:w="0" w:type="auto"/>
            <w:tcBorders>
              <w:top w:val="single" w:color="auto" w:sz="4" w:space="0"/>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　</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学员考试合格率　</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96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lang w:val="en-US" w:eastAsia="zh-CN"/>
              </w:rPr>
              <w:t>100</w:t>
            </w:r>
            <w:r>
              <w:rPr>
                <w:rFonts w:hint="eastAsia" w:ascii="方正仿宋_GBK" w:eastAsia="方正仿宋_GBK"/>
                <w:color w:val="000000"/>
                <w:sz w:val="18"/>
                <w:szCs w:val="18"/>
              </w:rPr>
              <w:t>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　</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8　</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干部党性修养、理论水平有提升</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定性</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无</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干部党性修养、理论水平有进一步的提升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干部党性修养、理论水平有进一步的提升</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6</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满意度百分比</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90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91</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lang w:val="en-US" w:eastAsia="zh-CN"/>
              </w:rPr>
              <w:t>100</w:t>
            </w:r>
            <w:bookmarkStart w:id="0" w:name="_GoBack"/>
            <w:bookmarkEnd w:id="0"/>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20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20</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628" w:type="dxa"/>
            <w:vMerge w:val="continue"/>
            <w:tcBorders>
              <w:left w:val="single" w:color="auto" w:sz="4" w:space="0"/>
              <w:bottom w:val="single" w:color="auto" w:sz="4" w:space="0"/>
              <w:right w:val="single" w:color="auto" w:sz="4" w:space="0"/>
            </w:tcBorders>
            <w:shd w:val="clear" w:color="auto" w:fill="auto"/>
            <w:vAlign w:val="center"/>
          </w:tcPr>
          <w:p>
            <w:pPr>
              <w:rPr>
                <w:rFonts w:ascii="方正仿宋_GBK" w:hAnsi="Calibri" w:eastAsia="方正仿宋_GBK"/>
                <w:color w:val="000000"/>
                <w:sz w:val="18"/>
                <w:szCs w:val="18"/>
              </w:rPr>
            </w:pPr>
          </w:p>
        </w:tc>
        <w:tc>
          <w:tcPr>
            <w:tcW w:w="750" w:type="dxa"/>
            <w:tcBorders>
              <w:top w:val="nil"/>
              <w:left w:val="nil"/>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资金执行率指标</w:t>
            </w:r>
          </w:p>
        </w:tc>
        <w:tc>
          <w:tcPr>
            <w:tcW w:w="0" w:type="auto"/>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w:t>
            </w:r>
          </w:p>
        </w:tc>
        <w:tc>
          <w:tcPr>
            <w:tcW w:w="0" w:type="auto"/>
            <w:tcBorders>
              <w:top w:val="nil"/>
              <w:left w:val="single" w:color="auto" w:sz="4" w:space="0"/>
              <w:bottom w:val="single" w:color="auto" w:sz="4" w:space="0"/>
              <w:right w:val="nil"/>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10</w:t>
            </w:r>
          </w:p>
        </w:tc>
        <w:tc>
          <w:tcPr>
            <w:tcW w:w="0" w:type="auto"/>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trHeight w:val="755" w:hRule="atLeast"/>
        </w:trPr>
        <w:tc>
          <w:tcPr>
            <w:tcW w:w="628"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7872" w:type="dxa"/>
            <w:gridSpan w:val="11"/>
            <w:tcBorders>
              <w:top w:val="single" w:color="auto" w:sz="4" w:space="0"/>
              <w:left w:val="nil"/>
              <w:bottom w:val="single" w:color="auto" w:sz="4" w:space="0"/>
              <w:right w:val="single" w:color="auto" w:sz="4" w:space="0"/>
            </w:tcBorders>
            <w:shd w:val="clear" w:color="auto" w:fill="auto"/>
            <w:vAlign w:val="center"/>
          </w:tcPr>
          <w:p>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去年</w:t>
            </w:r>
            <w:r>
              <w:rPr>
                <w:rFonts w:ascii="方正仿宋_GBK" w:eastAsia="方正仿宋_GBK"/>
                <w:color w:val="000000"/>
                <w:sz w:val="18"/>
                <w:szCs w:val="18"/>
              </w:rPr>
              <w:t>1月新冠疫情发生以来，区委党校作为南岸区疫情防控集中隔离医学观察点，至当年8月基本结束，造成全年大多数时间未承办各类班次</w:t>
            </w:r>
            <w:r>
              <w:rPr>
                <w:rFonts w:hint="eastAsia" w:ascii="方正仿宋_GBK" w:eastAsia="方正仿宋_GBK"/>
                <w:color w:val="000000"/>
                <w:sz w:val="18"/>
                <w:szCs w:val="18"/>
              </w:rPr>
              <w:t>，故培训班次全年完成值未达到年初设定的目标值。</w:t>
            </w:r>
          </w:p>
        </w:tc>
      </w:tr>
    </w:tbl>
    <w:p>
      <w:pPr>
        <w:tabs>
          <w:tab w:val="center" w:pos="4153"/>
          <w:tab w:val="left" w:pos="7275"/>
        </w:tabs>
        <w:spacing w:line="600" w:lineRule="exact"/>
        <w:rPr>
          <w:rFonts w:ascii="Times New Roman" w:hAnsi="Times New Roman" w:eastAsia="方正仿宋_GBK"/>
          <w:sz w:val="32"/>
          <w:szCs w:val="32"/>
        </w:rPr>
      </w:pPr>
    </w:p>
    <w:p>
      <w:pPr>
        <w:pStyle w:val="12"/>
        <w:tabs>
          <w:tab w:val="center" w:pos="4153"/>
          <w:tab w:val="left" w:pos="7275"/>
        </w:tabs>
        <w:spacing w:line="600" w:lineRule="exact"/>
        <w:ind w:firstLine="643"/>
        <w:rPr>
          <w:rFonts w:ascii="方正仿宋_GBK" w:hAnsi="宋体" w:eastAsia="方正仿宋_GBK" w:cs="宋体"/>
          <w:kern w:val="0"/>
          <w:sz w:val="32"/>
          <w:szCs w:val="32"/>
        </w:rPr>
      </w:pPr>
      <w:r>
        <w:rPr>
          <w:rFonts w:hint="eastAsia" w:ascii="方正仿宋_GBK" w:hAnsi="宋体" w:eastAsia="方正仿宋_GBK" w:cs="宋体"/>
          <w:b/>
          <w:kern w:val="0"/>
          <w:sz w:val="32"/>
          <w:szCs w:val="32"/>
        </w:rPr>
        <w:t>2.绩效自评报告或案例（如有）</w:t>
      </w:r>
    </w:p>
    <w:p>
      <w:pPr>
        <w:pStyle w:val="12"/>
        <w:tabs>
          <w:tab w:val="center" w:pos="4153"/>
          <w:tab w:val="left" w:pos="7275"/>
        </w:tabs>
        <w:spacing w:line="600" w:lineRule="exact"/>
        <w:ind w:firstLine="640"/>
        <w:rPr>
          <w:rFonts w:ascii="方正仿宋_GBK" w:hAnsi="宋体" w:eastAsia="方正仿宋_GBK" w:cs="宋体"/>
          <w:kern w:val="0"/>
          <w:sz w:val="32"/>
          <w:szCs w:val="32"/>
        </w:rPr>
      </w:pPr>
      <w:r>
        <w:rPr>
          <w:rFonts w:hint="eastAsia" w:ascii="方正仿宋_GBK" w:hAnsi="宋体" w:eastAsia="方正仿宋_GBK" w:cs="宋体"/>
          <w:kern w:val="0"/>
          <w:sz w:val="32"/>
          <w:szCs w:val="32"/>
        </w:rPr>
        <w:t>本年度本部门无委托第三方开展绩效自评的项目。</w:t>
      </w:r>
    </w:p>
    <w:p>
      <w:pPr>
        <w:pStyle w:val="12"/>
        <w:tabs>
          <w:tab w:val="center" w:pos="4153"/>
          <w:tab w:val="left" w:pos="7275"/>
        </w:tabs>
        <w:spacing w:line="600" w:lineRule="exact"/>
        <w:ind w:firstLine="643"/>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（三）重点绩效评价结果（如有）</w:t>
      </w:r>
    </w:p>
    <w:p>
      <w:pPr>
        <w:pStyle w:val="12"/>
        <w:tabs>
          <w:tab w:val="center" w:pos="4153"/>
          <w:tab w:val="left" w:pos="7275"/>
        </w:tabs>
        <w:spacing w:line="600" w:lineRule="exact"/>
        <w:ind w:firstLine="640"/>
        <w:rPr>
          <w:rFonts w:ascii="方正仿宋_GBK" w:hAnsi="宋体" w:eastAsia="方正仿宋_GBK" w:cs="宋体"/>
          <w:b/>
          <w:kern w:val="0"/>
          <w:sz w:val="32"/>
          <w:szCs w:val="32"/>
        </w:rPr>
      </w:pPr>
      <w:r>
        <w:rPr>
          <w:rFonts w:hint="eastAsia" w:ascii="方正仿宋_GBK" w:eastAsia="方正仿宋_GBK"/>
          <w:sz w:val="32"/>
          <w:szCs w:val="32"/>
        </w:rPr>
        <w:t>本年度本部门无区财政局委托第三方对部门政策或项目开展的重点绩效评价。</w:t>
      </w:r>
    </w:p>
    <w:p>
      <w:pPr>
        <w:pStyle w:val="5"/>
        <w:shd w:val="clear" w:color="auto" w:fill="FFFFFF"/>
        <w:spacing w:before="0" w:beforeAutospacing="0" w:after="0" w:afterAutospacing="0" w:line="600" w:lineRule="exact"/>
        <w:ind w:firstLine="640" w:firstLineChars="200"/>
        <w:jc w:val="both"/>
        <w:outlineLvl w:val="0"/>
        <w:rPr>
          <w:rStyle w:val="8"/>
          <w:rFonts w:ascii="方正黑体_GBK" w:eastAsia="方正黑体_GBK"/>
        </w:rPr>
      </w:pPr>
      <w:r>
        <w:rPr>
          <w:rStyle w:val="8"/>
          <w:rFonts w:hint="eastAsia" w:ascii="方正黑体_GBK" w:eastAsia="方正黑体_GBK"/>
          <w:b w:val="0"/>
          <w:sz w:val="32"/>
          <w:szCs w:val="32"/>
        </w:rPr>
        <w:t>六、专业名词解释</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（二）其他收入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（三）年初结转和结余</w:t>
      </w:r>
      <w:r>
        <w:rPr>
          <w:rFonts w:hint="eastAsia" w:ascii="方正仿宋_GBK" w:eastAsia="方正仿宋_GBK"/>
          <w:sz w:val="32"/>
          <w:szCs w:val="32"/>
        </w:rPr>
        <w:t>：指单位上年结转本年使用的基本支出结转、项目支出结转和结余、经营结余。</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（四）结余分配</w:t>
      </w:r>
      <w:r>
        <w:rPr>
          <w:rFonts w:hint="eastAsia" w:ascii="方正仿宋_GBK" w:eastAsia="方正仿宋_GBK"/>
          <w:sz w:val="32"/>
          <w:szCs w:val="32"/>
        </w:rPr>
        <w:t>：指单位按照国家有关规定，缴纳所得税、提取专用基金、转入事业基金等当年结余的分配情况。</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（五）年末结转和结余</w:t>
      </w:r>
      <w:r>
        <w:rPr>
          <w:rFonts w:hint="eastAsia" w:ascii="方正仿宋_GBK" w:eastAsia="方正仿宋_GBK"/>
          <w:sz w:val="32"/>
          <w:szCs w:val="32"/>
        </w:rPr>
        <w:t>：指单位结转下年的基本支出结转、项目支出结转和结余、经营结余。</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（六）基本支出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（七）项目支出</w:t>
      </w:r>
      <w:r>
        <w:rPr>
          <w:rFonts w:hint="eastAsia" w:ascii="方正仿宋_GBK" w:eastAsia="方正仿宋_GBK"/>
          <w:sz w:val="32"/>
          <w:szCs w:val="32"/>
        </w:rPr>
        <w:t>：指在基本支出之外为完成特定行政任务和事业发展目标所发生的支出。</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（八）“三公”经费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（九）机关运行经费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5"/>
        <w:widowControl w:val="0"/>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（十一）商品和服务支出（支出经济分类科目类级）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（十二）对个人和家庭的补助（支出经济分类科目类级）</w:t>
      </w:r>
      <w:r>
        <w:rPr>
          <w:rFonts w:hint="eastAsia" w:ascii="方正仿宋_GBK" w:eastAsia="方正仿宋_GBK"/>
          <w:sz w:val="32"/>
          <w:szCs w:val="32"/>
        </w:rPr>
        <w:t>：反映用于对个人和家庭的补助支出。</w:t>
      </w:r>
    </w:p>
    <w:p>
      <w:pPr>
        <w:pStyle w:val="5"/>
        <w:shd w:val="clear" w:color="auto" w:fill="FFFFFF"/>
        <w:spacing w:before="0" w:beforeAutospacing="0" w:after="0" w:afterAutospacing="0" w:line="600" w:lineRule="exact"/>
        <w:ind w:firstLine="643" w:firstLineChars="200"/>
        <w:jc w:val="both"/>
        <w:rPr>
          <w:rFonts w:ascii="方正仿宋_GBK" w:eastAsia="方正仿宋_GBK"/>
          <w:sz w:val="32"/>
          <w:szCs w:val="32"/>
        </w:rPr>
      </w:pPr>
      <w:r>
        <w:rPr>
          <w:rStyle w:val="8"/>
          <w:rFonts w:hint="eastAsia" w:ascii="方正仿宋_GBK" w:eastAsia="方正仿宋_GBK"/>
          <w:sz w:val="32"/>
          <w:szCs w:val="32"/>
        </w:rPr>
        <w:t>（十三）其他资本性支出（支出经济分类科目类级）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600" w:lineRule="exact"/>
        <w:ind w:firstLine="640" w:firstLineChars="200"/>
        <w:jc w:val="both"/>
        <w:outlineLvl w:val="0"/>
        <w:rPr>
          <w:rFonts w:ascii="方正黑体_GBK" w:eastAsia="方正黑体_GBK"/>
          <w:b/>
          <w:sz w:val="32"/>
          <w:szCs w:val="32"/>
        </w:rPr>
      </w:pPr>
      <w:r>
        <w:rPr>
          <w:rStyle w:val="8"/>
          <w:rFonts w:hint="eastAsia" w:ascii="方正黑体_GBK" w:eastAsia="方正黑体_GBK"/>
          <w:b w:val="0"/>
          <w:sz w:val="32"/>
          <w:szCs w:val="32"/>
        </w:rPr>
        <w:t>七、决算公开联系方式及信息反馈渠道</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r>
        <w:rPr>
          <w:rFonts w:hint="eastAsia" w:ascii="方正仿宋_GBK" w:eastAsia="方正仿宋_GBK"/>
          <w:sz w:val="32"/>
          <w:szCs w:val="32"/>
        </w:rPr>
        <w:t>本单位决算公开信息反馈和联系方式：</w:t>
      </w:r>
      <w:r>
        <w:rPr>
          <w:rFonts w:hint="eastAsia" w:ascii="方正仿宋_GBK" w:eastAsia="方正仿宋_GBK"/>
          <w:color w:val="FF0000"/>
          <w:sz w:val="32"/>
          <w:szCs w:val="32"/>
        </w:rPr>
        <w:t xml:space="preserve"> </w:t>
      </w:r>
      <w:r>
        <w:rPr>
          <w:rFonts w:hint="eastAsia" w:ascii="方正仿宋_GBK" w:eastAsia="方正仿宋_GBK"/>
          <w:sz w:val="32"/>
          <w:szCs w:val="32"/>
        </w:rPr>
        <w:t>023-62826900</w:t>
      </w: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p>
    <w:p>
      <w:pPr>
        <w:pStyle w:val="5"/>
        <w:shd w:val="clear" w:color="auto" w:fill="FFFFFF"/>
        <w:spacing w:before="0" w:beforeAutospacing="0" w:after="0" w:afterAutospacing="0" w:line="600" w:lineRule="exact"/>
        <w:ind w:firstLine="640" w:firstLineChars="200"/>
        <w:jc w:val="both"/>
        <w:rPr>
          <w:rFonts w:ascii="方正仿宋_GBK" w:eastAsia="方正仿宋_GBK"/>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roman"/>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docPartObj>
        <w:docPartGallery w:val="autotext"/>
      </w:docPartObj>
    </w:sdtPr>
    <w:sdtContent>
      <w:p>
        <w:pPr>
          <w:pStyle w:val="3"/>
          <w:jc w:val="center"/>
        </w:pPr>
      </w:p>
      <w:p>
        <w:pPr>
          <w:pStyle w:val="3"/>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15DFA"/>
    <w:rsid w:val="00027DF9"/>
    <w:rsid w:val="00031D98"/>
    <w:rsid w:val="000478A4"/>
    <w:rsid w:val="00051BF6"/>
    <w:rsid w:val="00065022"/>
    <w:rsid w:val="0008516F"/>
    <w:rsid w:val="000952D5"/>
    <w:rsid w:val="000A1557"/>
    <w:rsid w:val="000C2899"/>
    <w:rsid w:val="000C6109"/>
    <w:rsid w:val="000C7BA7"/>
    <w:rsid w:val="000D2B6E"/>
    <w:rsid w:val="000F2F4B"/>
    <w:rsid w:val="00115962"/>
    <w:rsid w:val="00127B58"/>
    <w:rsid w:val="001343FA"/>
    <w:rsid w:val="0013534C"/>
    <w:rsid w:val="00141B1C"/>
    <w:rsid w:val="00150595"/>
    <w:rsid w:val="00156AF5"/>
    <w:rsid w:val="0017244F"/>
    <w:rsid w:val="00177D38"/>
    <w:rsid w:val="00194346"/>
    <w:rsid w:val="001C58AD"/>
    <w:rsid w:val="001D33A9"/>
    <w:rsid w:val="001E2591"/>
    <w:rsid w:val="001E688C"/>
    <w:rsid w:val="001F0351"/>
    <w:rsid w:val="001F5C88"/>
    <w:rsid w:val="00221A09"/>
    <w:rsid w:val="002276B5"/>
    <w:rsid w:val="0024102A"/>
    <w:rsid w:val="00253FC4"/>
    <w:rsid w:val="00292848"/>
    <w:rsid w:val="00293EB0"/>
    <w:rsid w:val="002C0036"/>
    <w:rsid w:val="002C0145"/>
    <w:rsid w:val="002C41F2"/>
    <w:rsid w:val="002E456A"/>
    <w:rsid w:val="002F20D4"/>
    <w:rsid w:val="0030438F"/>
    <w:rsid w:val="00315860"/>
    <w:rsid w:val="0031616F"/>
    <w:rsid w:val="00316F52"/>
    <w:rsid w:val="00317DE3"/>
    <w:rsid w:val="00323DC8"/>
    <w:rsid w:val="003269CF"/>
    <w:rsid w:val="00331C75"/>
    <w:rsid w:val="003320D0"/>
    <w:rsid w:val="00345220"/>
    <w:rsid w:val="003463D8"/>
    <w:rsid w:val="00357620"/>
    <w:rsid w:val="00370F86"/>
    <w:rsid w:val="003751E4"/>
    <w:rsid w:val="0037786C"/>
    <w:rsid w:val="00392974"/>
    <w:rsid w:val="00396E75"/>
    <w:rsid w:val="003A3718"/>
    <w:rsid w:val="003A79F2"/>
    <w:rsid w:val="003B1771"/>
    <w:rsid w:val="003B4EEE"/>
    <w:rsid w:val="003D0E74"/>
    <w:rsid w:val="003E0283"/>
    <w:rsid w:val="003E6D8A"/>
    <w:rsid w:val="004033AE"/>
    <w:rsid w:val="0042008E"/>
    <w:rsid w:val="00420E29"/>
    <w:rsid w:val="004375B6"/>
    <w:rsid w:val="00445D20"/>
    <w:rsid w:val="00450831"/>
    <w:rsid w:val="004658F4"/>
    <w:rsid w:val="00480BB8"/>
    <w:rsid w:val="004A0FEA"/>
    <w:rsid w:val="004A378A"/>
    <w:rsid w:val="004B4DB9"/>
    <w:rsid w:val="004B5A4C"/>
    <w:rsid w:val="004C5FAC"/>
    <w:rsid w:val="004D0FC2"/>
    <w:rsid w:val="005072E7"/>
    <w:rsid w:val="00514727"/>
    <w:rsid w:val="005152C4"/>
    <w:rsid w:val="00515410"/>
    <w:rsid w:val="00520D5C"/>
    <w:rsid w:val="005255CB"/>
    <w:rsid w:val="00526158"/>
    <w:rsid w:val="00533D72"/>
    <w:rsid w:val="00593F32"/>
    <w:rsid w:val="005C0EF3"/>
    <w:rsid w:val="005C2710"/>
    <w:rsid w:val="005D4933"/>
    <w:rsid w:val="005E035C"/>
    <w:rsid w:val="005F055B"/>
    <w:rsid w:val="005F5F52"/>
    <w:rsid w:val="00603BFE"/>
    <w:rsid w:val="00603FCE"/>
    <w:rsid w:val="00616AA9"/>
    <w:rsid w:val="0063459A"/>
    <w:rsid w:val="00641945"/>
    <w:rsid w:val="00651D7D"/>
    <w:rsid w:val="00652749"/>
    <w:rsid w:val="006667F6"/>
    <w:rsid w:val="00674495"/>
    <w:rsid w:val="006800C8"/>
    <w:rsid w:val="0069046D"/>
    <w:rsid w:val="0069705C"/>
    <w:rsid w:val="006A1ED6"/>
    <w:rsid w:val="006B3A67"/>
    <w:rsid w:val="006C05D3"/>
    <w:rsid w:val="006E500F"/>
    <w:rsid w:val="006F08AE"/>
    <w:rsid w:val="006F3546"/>
    <w:rsid w:val="00702553"/>
    <w:rsid w:val="00714D37"/>
    <w:rsid w:val="00741C27"/>
    <w:rsid w:val="00760818"/>
    <w:rsid w:val="00762774"/>
    <w:rsid w:val="007813B9"/>
    <w:rsid w:val="007958A0"/>
    <w:rsid w:val="007A05C3"/>
    <w:rsid w:val="007A4D3C"/>
    <w:rsid w:val="007A5AEA"/>
    <w:rsid w:val="007E323D"/>
    <w:rsid w:val="00827D80"/>
    <w:rsid w:val="00833724"/>
    <w:rsid w:val="0083676F"/>
    <w:rsid w:val="00840053"/>
    <w:rsid w:val="008411F6"/>
    <w:rsid w:val="0087676C"/>
    <w:rsid w:val="0087704A"/>
    <w:rsid w:val="00895405"/>
    <w:rsid w:val="008A4883"/>
    <w:rsid w:val="008B5EFA"/>
    <w:rsid w:val="008E4EB2"/>
    <w:rsid w:val="008F0696"/>
    <w:rsid w:val="00910801"/>
    <w:rsid w:val="009256E2"/>
    <w:rsid w:val="009759D7"/>
    <w:rsid w:val="00976B2F"/>
    <w:rsid w:val="009A0FA1"/>
    <w:rsid w:val="009A3CDC"/>
    <w:rsid w:val="009A41FA"/>
    <w:rsid w:val="009B2E03"/>
    <w:rsid w:val="009C7A96"/>
    <w:rsid w:val="009D0C90"/>
    <w:rsid w:val="009D65BE"/>
    <w:rsid w:val="009E6A3D"/>
    <w:rsid w:val="009F3998"/>
    <w:rsid w:val="00A07077"/>
    <w:rsid w:val="00A23B76"/>
    <w:rsid w:val="00A30021"/>
    <w:rsid w:val="00A3311B"/>
    <w:rsid w:val="00A41815"/>
    <w:rsid w:val="00A4273C"/>
    <w:rsid w:val="00A46E16"/>
    <w:rsid w:val="00A546A2"/>
    <w:rsid w:val="00A61CF0"/>
    <w:rsid w:val="00A7460F"/>
    <w:rsid w:val="00A74621"/>
    <w:rsid w:val="00A854D0"/>
    <w:rsid w:val="00AC64B0"/>
    <w:rsid w:val="00AD19BD"/>
    <w:rsid w:val="00B03D84"/>
    <w:rsid w:val="00B10B41"/>
    <w:rsid w:val="00B1181F"/>
    <w:rsid w:val="00B124AA"/>
    <w:rsid w:val="00B2698A"/>
    <w:rsid w:val="00B37E47"/>
    <w:rsid w:val="00B40877"/>
    <w:rsid w:val="00B46450"/>
    <w:rsid w:val="00B46CA9"/>
    <w:rsid w:val="00B50FF6"/>
    <w:rsid w:val="00B549C5"/>
    <w:rsid w:val="00B56A12"/>
    <w:rsid w:val="00B61C9F"/>
    <w:rsid w:val="00B62892"/>
    <w:rsid w:val="00B93914"/>
    <w:rsid w:val="00BA5AE8"/>
    <w:rsid w:val="00BC2D63"/>
    <w:rsid w:val="00BE502E"/>
    <w:rsid w:val="00BE6E52"/>
    <w:rsid w:val="00BF5928"/>
    <w:rsid w:val="00C15085"/>
    <w:rsid w:val="00C56B6B"/>
    <w:rsid w:val="00C57FF3"/>
    <w:rsid w:val="00C7678E"/>
    <w:rsid w:val="00C8798E"/>
    <w:rsid w:val="00C947A8"/>
    <w:rsid w:val="00CA0AF1"/>
    <w:rsid w:val="00CA1FF1"/>
    <w:rsid w:val="00CA28EB"/>
    <w:rsid w:val="00CC5EF9"/>
    <w:rsid w:val="00CD53B9"/>
    <w:rsid w:val="00CD756B"/>
    <w:rsid w:val="00D33E16"/>
    <w:rsid w:val="00D41175"/>
    <w:rsid w:val="00D45158"/>
    <w:rsid w:val="00D73116"/>
    <w:rsid w:val="00D958B2"/>
    <w:rsid w:val="00DD3F5B"/>
    <w:rsid w:val="00DE2C92"/>
    <w:rsid w:val="00DF05D2"/>
    <w:rsid w:val="00E07898"/>
    <w:rsid w:val="00E11711"/>
    <w:rsid w:val="00E323A1"/>
    <w:rsid w:val="00E35F6E"/>
    <w:rsid w:val="00E5717F"/>
    <w:rsid w:val="00E575F7"/>
    <w:rsid w:val="00E5779B"/>
    <w:rsid w:val="00E70944"/>
    <w:rsid w:val="00E7273A"/>
    <w:rsid w:val="00E775BF"/>
    <w:rsid w:val="00EA179B"/>
    <w:rsid w:val="00EB2940"/>
    <w:rsid w:val="00EE53C3"/>
    <w:rsid w:val="00F07AFF"/>
    <w:rsid w:val="00F364CA"/>
    <w:rsid w:val="00F57781"/>
    <w:rsid w:val="00F968B3"/>
    <w:rsid w:val="00FB2A83"/>
    <w:rsid w:val="00FB2ED5"/>
    <w:rsid w:val="00FB63C7"/>
    <w:rsid w:val="00FD6E89"/>
    <w:rsid w:val="00FF26C8"/>
    <w:rsid w:val="247D0D77"/>
    <w:rsid w:val="3B2D628E"/>
    <w:rsid w:val="56BA6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pPr>
  </w:style>
  <w:style w:type="character" w:styleId="8">
    <w:name w:val="Strong"/>
    <w:basedOn w:val="7"/>
    <w:qFormat/>
    <w:uiPriority w:val="22"/>
    <w:rPr>
      <w:b/>
      <w:bCs/>
    </w:rPr>
  </w:style>
  <w:style w:type="character" w:customStyle="1" w:styleId="9">
    <w:name w:val="页眉 Char"/>
    <w:basedOn w:val="7"/>
    <w:link w:val="4"/>
    <w:semiHidden/>
    <w:qFormat/>
    <w:locked/>
    <w:uiPriority w:val="99"/>
    <w:rPr>
      <w:rFonts w:hint="eastAsia" w:ascii="宋体" w:hAnsi="宋体" w:eastAsia="宋体" w:cs="宋体"/>
      <w:sz w:val="18"/>
      <w:szCs w:val="18"/>
    </w:rPr>
  </w:style>
  <w:style w:type="character" w:customStyle="1" w:styleId="10">
    <w:name w:val="页脚 Char"/>
    <w:basedOn w:val="7"/>
    <w:link w:val="3"/>
    <w:qFormat/>
    <w:locked/>
    <w:uiPriority w:val="99"/>
    <w:rPr>
      <w:rFonts w:hint="eastAsia" w:ascii="宋体" w:hAnsi="宋体" w:eastAsia="宋体" w:cs="宋体"/>
      <w:sz w:val="18"/>
      <w:szCs w:val="18"/>
    </w:rPr>
  </w:style>
  <w:style w:type="character" w:customStyle="1" w:styleId="11">
    <w:name w:val="文档结构图 Char"/>
    <w:basedOn w:val="7"/>
    <w:link w:val="2"/>
    <w:semiHidden/>
    <w:qFormat/>
    <w:locked/>
    <w:uiPriority w:val="99"/>
    <w:rPr>
      <w:rFonts w:hint="eastAsia" w:ascii="宋体" w:hAnsi="宋体" w:eastAsia="宋体" w:cs="宋体"/>
      <w:sz w:val="18"/>
      <w:szCs w:val="18"/>
    </w:rPr>
  </w:style>
  <w:style w:type="paragraph" w:styleId="12">
    <w:name w:val="List Paragraph"/>
    <w:basedOn w:val="1"/>
    <w:qFormat/>
    <w:uiPriority w:val="0"/>
    <w:pPr>
      <w:widowControl w:val="0"/>
      <w:ind w:firstLine="420" w:firstLineChars="200"/>
      <w:jc w:val="both"/>
    </w:pPr>
    <w:rPr>
      <w:rFonts w:ascii="Calibri" w:hAnsi="Calibri" w:cs="Times New Roman"/>
      <w:kern w:val="2"/>
      <w:sz w:val="21"/>
      <w:szCs w:val="22"/>
    </w:rPr>
  </w:style>
  <w:style w:type="paragraph" w:customStyle="1" w:styleId="13">
    <w:name w:val="msonormal"/>
    <w:basedOn w:val="1"/>
    <w:semiHidden/>
    <w:qFormat/>
    <w:uiPriority w:val="99"/>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0C30C-362A-41A3-AC68-3F3CF5B1B1E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5601</Words>
  <Characters>1135</Characters>
  <Lines>9</Lines>
  <Paragraphs>13</Paragraphs>
  <TotalTime>0</TotalTime>
  <ScaleCrop>false</ScaleCrop>
  <LinksUpToDate>false</LinksUpToDate>
  <CharactersWithSpaces>6723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skhj</cp:lastModifiedBy>
  <cp:lastPrinted>2021-08-31T06:34:00Z</cp:lastPrinted>
  <dcterms:modified xsi:type="dcterms:W3CDTF">2021-11-19T03:38:53Z</dcterms:modified>
  <dc:title>公开报告模板</dc:title>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4A3444ED8546417CAE08995F377824B4</vt:lpwstr>
  </property>
</Properties>
</file>