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国务院办公厅关于印发加强信用信息共享应用</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促进中小微企业融资实施方案的通知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国办发〔2021〕52号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《加强信用信息共享应用促进中小微企业融资实施方案》已经国务院同意，现印发给你们，请认真组织实施。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2021年12月22日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加强信用信息共享应用</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促进中小微企业融资实施方案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需求导向，充分共享。</w:t>
      </w:r>
      <w:r>
        <w:rPr>
          <w:rFonts w:hint="eastAsia" w:ascii="宋体" w:hAnsi="宋体" w:eastAsia="宋体" w:cs="宋体"/>
          <w:i w:val="0"/>
          <w:iCs w:val="0"/>
          <w:caps w:val="0"/>
          <w:color w:val="333333"/>
          <w:spacing w:val="0"/>
          <w:sz w:val="24"/>
          <w:szCs w:val="24"/>
          <w:bdr w:val="none" w:color="auto" w:sz="0" w:space="0"/>
          <w:shd w:val="clear" w:fill="FFFFFF"/>
        </w:rPr>
        <w:t>以支持银行等金融机构提升服务中小微企业能力为出发点，充分发挥各类信用信息平台作用，多种方式归集共享各类涉企信用信息，破解银企信息不对称难题。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创新应用，防控风险。</w:t>
      </w:r>
      <w:r>
        <w:rPr>
          <w:rFonts w:hint="eastAsia" w:ascii="宋体" w:hAnsi="宋体" w:eastAsia="宋体" w:cs="宋体"/>
          <w:i w:val="0"/>
          <w:iCs w:val="0"/>
          <w:caps w:val="0"/>
          <w:color w:val="333333"/>
          <w:spacing w:val="0"/>
          <w:sz w:val="24"/>
          <w:szCs w:val="24"/>
          <w:bdr w:val="none" w:color="auto" w:sz="0" w:space="0"/>
          <w:shd w:val="clear" w:fill="FFFFFF"/>
        </w:rPr>
        <w:t>充分运用大数据等技术，完善信用评价体系，创新金融产品和服务，加大信贷资源向中小微企业倾斜力度。建立健全风险识别、监测、分担、处置等机制，提升风险防范能力。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多方参与，协同联动。</w:t>
      </w:r>
      <w:r>
        <w:rPr>
          <w:rFonts w:hint="eastAsia" w:ascii="宋体" w:hAnsi="宋体" w:eastAsia="宋体" w:cs="宋体"/>
          <w:i w:val="0"/>
          <w:iCs w:val="0"/>
          <w:caps w:val="0"/>
          <w:color w:val="333333"/>
          <w:spacing w:val="0"/>
          <w:sz w:val="24"/>
          <w:szCs w:val="24"/>
          <w:bdr w:val="none" w:color="auto" w:sz="0" w:space="0"/>
          <w:shd w:val="clear" w:fill="FFFFFF"/>
        </w:rPr>
        <w:t>健全信用信息共享协调机制，发挥政府在组织协调、信息整合等方面的作用，加快构建政府与银行、保险、担保、信用服务等机构协同联动的工作格局，形成工作合力。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依法依规，保护权益。</w:t>
      </w:r>
      <w:r>
        <w:rPr>
          <w:rFonts w:hint="eastAsia" w:ascii="宋体" w:hAnsi="宋体" w:eastAsia="宋体" w:cs="宋体"/>
          <w:i w:val="0"/>
          <w:iCs w:val="0"/>
          <w:caps w:val="0"/>
          <w:color w:val="333333"/>
          <w:spacing w:val="0"/>
          <w:sz w:val="24"/>
          <w:szCs w:val="24"/>
          <w:bdr w:val="none" w:color="auto" w:sz="0" w:space="0"/>
          <w:shd w:val="clear" w:fill="FFFFFF"/>
        </w:rPr>
        <w:t>强化信息分级分类管理，规范信息使用权限和程序，加强信息安全保护，防止信息泄露和非法使用。依法查处侵权行为，保护商业秘密和个人隐私，维护市场主体合法权益。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二、加强信用信息共享整合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（三）健全信息共享网络。</w:t>
      </w:r>
      <w:r>
        <w:rPr>
          <w:rFonts w:hint="eastAsia" w:ascii="宋体" w:hAnsi="宋体" w:eastAsia="宋体" w:cs="宋体"/>
          <w:i w:val="0"/>
          <w:iCs w:val="0"/>
          <w:caps w:val="0"/>
          <w:color w:val="333333"/>
          <w:spacing w:val="0"/>
          <w:sz w:val="24"/>
          <w:szCs w:val="24"/>
          <w:bdr w:val="none" w:color="auto" w:sz="0" w:space="0"/>
          <w:shd w:val="clear" w:fill="FFFFFF"/>
        </w:rPr>
        <w:t>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w:t>
      </w:r>
      <w:r>
        <w:rPr>
          <w:rFonts w:hint="eastAsia" w:ascii="楷体" w:hAnsi="楷体" w:eastAsia="楷体" w:cs="楷体"/>
          <w:i w:val="0"/>
          <w:iCs w:val="0"/>
          <w:caps w:val="0"/>
          <w:color w:val="333333"/>
          <w:spacing w:val="0"/>
          <w:sz w:val="24"/>
          <w:szCs w:val="24"/>
          <w:bdr w:val="none" w:color="auto" w:sz="0" w:space="0"/>
          <w:shd w:val="clear" w:fill="FFFFFF"/>
        </w:rPr>
        <w:t>（国家发展改革委、人民银行、银保监会牵头，各地区各有关部门和单位按职责分工负责）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（四）扩大信息共享范围。</w:t>
      </w:r>
      <w:r>
        <w:rPr>
          <w:rFonts w:hint="eastAsia" w:ascii="宋体" w:hAnsi="宋体" w:eastAsia="宋体" w:cs="宋体"/>
          <w:i w:val="0"/>
          <w:iCs w:val="0"/>
          <w:caps w:val="0"/>
          <w:color w:val="333333"/>
          <w:spacing w:val="0"/>
          <w:sz w:val="24"/>
          <w:szCs w:val="24"/>
          <w:bdr w:val="none" w:color="auto" w:sz="0" w:space="0"/>
          <w:shd w:val="clear" w:fill="FFFFFF"/>
        </w:rPr>
        <w:t>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w:t>
      </w:r>
      <w:r>
        <w:rPr>
          <w:rFonts w:hint="eastAsia" w:ascii="楷体" w:hAnsi="楷体" w:eastAsia="楷体" w:cs="楷体"/>
          <w:i w:val="0"/>
          <w:iCs w:val="0"/>
          <w:caps w:val="0"/>
          <w:color w:val="333333"/>
          <w:spacing w:val="0"/>
          <w:sz w:val="24"/>
          <w:szCs w:val="24"/>
          <w:bdr w:val="none" w:color="auto" w:sz="0" w:space="0"/>
          <w:shd w:val="clear" w:fill="FFFFFF"/>
        </w:rPr>
        <w:t>（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（五）优化信息共享方式。</w:t>
      </w:r>
      <w:r>
        <w:rPr>
          <w:rFonts w:hint="eastAsia" w:ascii="宋体" w:hAnsi="宋体" w:eastAsia="宋体" w:cs="宋体"/>
          <w:i w:val="0"/>
          <w:iCs w:val="0"/>
          <w:caps w:val="0"/>
          <w:color w:val="333333"/>
          <w:spacing w:val="0"/>
          <w:sz w:val="24"/>
          <w:szCs w:val="24"/>
          <w:bdr w:val="none" w:color="auto" w:sz="0" w:space="0"/>
          <w:shd w:val="clear" w:fill="FFFFFF"/>
        </w:rPr>
        <w:t>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w:t>
      </w:r>
      <w:r>
        <w:rPr>
          <w:rFonts w:hint="eastAsia" w:ascii="楷体" w:hAnsi="楷体" w:eastAsia="楷体" w:cs="楷体"/>
          <w:i w:val="0"/>
          <w:iCs w:val="0"/>
          <w:caps w:val="0"/>
          <w:color w:val="333333"/>
          <w:spacing w:val="0"/>
          <w:sz w:val="24"/>
          <w:szCs w:val="24"/>
          <w:bdr w:val="none" w:color="auto" w:sz="0" w:space="0"/>
          <w:shd w:val="clear" w:fill="FFFFFF"/>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（六）优化信用信息服务。</w:t>
      </w:r>
      <w:r>
        <w:rPr>
          <w:rFonts w:hint="eastAsia" w:ascii="宋体" w:hAnsi="宋体" w:eastAsia="宋体" w:cs="宋体"/>
          <w:i w:val="0"/>
          <w:iCs w:val="0"/>
          <w:caps w:val="0"/>
          <w:color w:val="333333"/>
          <w:spacing w:val="0"/>
          <w:sz w:val="24"/>
          <w:szCs w:val="24"/>
          <w:bdr w:val="none" w:color="auto" w:sz="0" w:space="0"/>
          <w:shd w:val="clear" w:fill="FFFFFF"/>
        </w:rPr>
        <w:t>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（国家发展改革委、工业和信息化部、人民银行、银保监会及各地区按职责分工负责）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三、深化信用信息开发利用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（七）完善信用评价体系。</w:t>
      </w:r>
      <w:r>
        <w:rPr>
          <w:rFonts w:hint="eastAsia" w:ascii="宋体" w:hAnsi="宋体" w:eastAsia="宋体" w:cs="宋体"/>
          <w:i w:val="0"/>
          <w:iCs w:val="0"/>
          <w:caps w:val="0"/>
          <w:color w:val="333333"/>
          <w:spacing w:val="0"/>
          <w:sz w:val="24"/>
          <w:szCs w:val="24"/>
          <w:bdr w:val="none" w:color="auto" w:sz="0" w:space="0"/>
          <w:shd w:val="clear" w:fill="FFFFFF"/>
        </w:rPr>
        <w:t>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（国家发展改革委、工业和信息化部、人民银行、银保监会及各地区按职责分工负责）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（八）强化风险监测处置。</w:t>
      </w:r>
      <w:r>
        <w:rPr>
          <w:rFonts w:hint="eastAsia" w:ascii="宋体" w:hAnsi="宋体" w:eastAsia="宋体" w:cs="宋体"/>
          <w:i w:val="0"/>
          <w:iCs w:val="0"/>
          <w:caps w:val="0"/>
          <w:color w:val="333333"/>
          <w:spacing w:val="0"/>
          <w:sz w:val="24"/>
          <w:szCs w:val="24"/>
          <w:bdr w:val="none" w:color="auto" w:sz="0" w:space="0"/>
          <w:shd w:val="clear" w:fill="FFFFFF"/>
        </w:rPr>
        <w:t>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w:t>
      </w:r>
      <w:r>
        <w:rPr>
          <w:rFonts w:hint="eastAsia" w:ascii="楷体" w:hAnsi="楷体" w:eastAsia="楷体" w:cs="楷体"/>
          <w:i w:val="0"/>
          <w:iCs w:val="0"/>
          <w:caps w:val="0"/>
          <w:color w:val="333333"/>
          <w:spacing w:val="0"/>
          <w:sz w:val="24"/>
          <w:szCs w:val="24"/>
          <w:bdr w:val="none" w:color="auto" w:sz="0" w:space="0"/>
          <w:shd w:val="clear" w:fill="FFFFFF"/>
        </w:rPr>
        <w:t>（国家发展改革委、最高人民法院、司法部、人民银行、银保监会等有关部门和单位及各地区按职责分工负责）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四、保障信息主体合法权益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（九）规范信息管理使用。</w:t>
      </w:r>
      <w:r>
        <w:rPr>
          <w:rFonts w:hint="eastAsia" w:ascii="宋体" w:hAnsi="宋体" w:eastAsia="宋体" w:cs="宋体"/>
          <w:i w:val="0"/>
          <w:iCs w:val="0"/>
          <w:caps w:val="0"/>
          <w:color w:val="333333"/>
          <w:spacing w:val="0"/>
          <w:sz w:val="24"/>
          <w:szCs w:val="24"/>
          <w:bdr w:val="none" w:color="auto" w:sz="0" w:space="0"/>
          <w:shd w:val="clear" w:fill="FFFFFF"/>
        </w:rPr>
        <w:t>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w:t>
      </w:r>
      <w:r>
        <w:rPr>
          <w:rFonts w:hint="eastAsia" w:ascii="楷体" w:hAnsi="楷体" w:eastAsia="楷体" w:cs="楷体"/>
          <w:i w:val="0"/>
          <w:iCs w:val="0"/>
          <w:caps w:val="0"/>
          <w:color w:val="333333"/>
          <w:spacing w:val="0"/>
          <w:sz w:val="24"/>
          <w:szCs w:val="24"/>
          <w:bdr w:val="none" w:color="auto" w:sz="0" w:space="0"/>
          <w:shd w:val="clear" w:fill="FFFFFF"/>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（十）加强信息安全保障。</w:t>
      </w:r>
      <w:r>
        <w:rPr>
          <w:rFonts w:hint="eastAsia" w:ascii="宋体" w:hAnsi="宋体" w:eastAsia="宋体" w:cs="宋体"/>
          <w:i w:val="0"/>
          <w:iCs w:val="0"/>
          <w:caps w:val="0"/>
          <w:color w:val="333333"/>
          <w:spacing w:val="0"/>
          <w:sz w:val="24"/>
          <w:szCs w:val="24"/>
          <w:bdr w:val="none" w:color="auto" w:sz="0" w:space="0"/>
          <w:shd w:val="clear" w:fill="FFFFFF"/>
        </w:rPr>
        <w:t>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w:t>
      </w:r>
      <w:r>
        <w:rPr>
          <w:rFonts w:hint="eastAsia" w:ascii="楷体" w:hAnsi="楷体" w:eastAsia="楷体" w:cs="楷体"/>
          <w:i w:val="0"/>
          <w:iCs w:val="0"/>
          <w:caps w:val="0"/>
          <w:color w:val="333333"/>
          <w:spacing w:val="0"/>
          <w:sz w:val="24"/>
          <w:szCs w:val="24"/>
          <w:bdr w:val="none" w:color="auto" w:sz="0" w:space="0"/>
          <w:shd w:val="clear" w:fill="FFFFFF"/>
        </w:rPr>
        <w:t>（各地区各有关部门和单位按职责分工负责）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（十一）加强组织协调。</w:t>
      </w:r>
      <w:r>
        <w:rPr>
          <w:rFonts w:hint="eastAsia" w:ascii="宋体" w:hAnsi="宋体" w:eastAsia="宋体" w:cs="宋体"/>
          <w:i w:val="0"/>
          <w:iCs w:val="0"/>
          <w:caps w:val="0"/>
          <w:color w:val="333333"/>
          <w:spacing w:val="0"/>
          <w:sz w:val="24"/>
          <w:szCs w:val="24"/>
          <w:bdr w:val="none" w:color="auto" w:sz="0" w:space="0"/>
          <w:shd w:val="clear" w:fill="FFFFFF"/>
        </w:rPr>
        <w:t>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（十二）强化政策支持。</w:t>
      </w:r>
      <w:r>
        <w:rPr>
          <w:rFonts w:hint="eastAsia" w:ascii="宋体" w:hAnsi="宋体" w:eastAsia="宋体" w:cs="宋体"/>
          <w:i w:val="0"/>
          <w:iCs w:val="0"/>
          <w:caps w:val="0"/>
          <w:color w:val="333333"/>
          <w:spacing w:val="0"/>
          <w:sz w:val="24"/>
          <w:szCs w:val="24"/>
          <w:bdr w:val="none" w:color="auto" w:sz="0" w:space="0"/>
          <w:shd w:val="clear" w:fill="FFFFFF"/>
        </w:rPr>
        <w:t>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w:t>
      </w:r>
      <w:r>
        <w:rPr>
          <w:rFonts w:hint="eastAsia" w:ascii="楷体" w:hAnsi="楷体" w:eastAsia="楷体" w:cs="楷体"/>
          <w:i w:val="0"/>
          <w:iCs w:val="0"/>
          <w:caps w:val="0"/>
          <w:color w:val="333333"/>
          <w:spacing w:val="0"/>
          <w:sz w:val="24"/>
          <w:szCs w:val="24"/>
          <w:bdr w:val="none" w:color="auto" w:sz="0" w:space="0"/>
          <w:shd w:val="clear" w:fill="FFFFFF"/>
        </w:rPr>
        <w:t>（财政部、银保监会及各地区按职责分工负责）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（十三）做好宣传引导。</w:t>
      </w:r>
      <w:r>
        <w:rPr>
          <w:rFonts w:hint="eastAsia" w:ascii="宋体" w:hAnsi="宋体" w:eastAsia="宋体" w:cs="宋体"/>
          <w:i w:val="0"/>
          <w:iCs w:val="0"/>
          <w:caps w:val="0"/>
          <w:color w:val="333333"/>
          <w:spacing w:val="0"/>
          <w:sz w:val="24"/>
          <w:szCs w:val="24"/>
          <w:bdr w:val="none" w:color="auto" w:sz="0" w:space="0"/>
          <w:shd w:val="clear" w:fill="FFFFFF"/>
        </w:rPr>
        <w:t>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w:t>
      </w:r>
      <w:r>
        <w:rPr>
          <w:rFonts w:hint="eastAsia" w:ascii="楷体" w:hAnsi="楷体" w:eastAsia="楷体" w:cs="楷体"/>
          <w:i w:val="0"/>
          <w:iCs w:val="0"/>
          <w:caps w:val="0"/>
          <w:color w:val="333333"/>
          <w:spacing w:val="0"/>
          <w:sz w:val="24"/>
          <w:szCs w:val="24"/>
          <w:bdr w:val="none" w:color="auto" w:sz="0" w:space="0"/>
          <w:shd w:val="clear" w:fill="FFFFFF"/>
        </w:rPr>
        <w:t>（国家发展改革委、工业和信息化部、人民银行、银保监会牵头，各地区各有关部门和单位按职责分工负责）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附件：信用信息共享清单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信用信息共享清单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6096000" cy="22326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96000" cy="22326600"/>
                    </a:xfrm>
                    <a:prstGeom prst="rect">
                      <a:avLst/>
                    </a:prstGeom>
                    <a:noFill/>
                    <a:ln w="9525">
                      <a:noFill/>
                    </a:ln>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0"/>
          <w:szCs w:val="20"/>
          <w:bdr w:val="none" w:color="auto" w:sz="0" w:space="0"/>
          <w:shd w:val="clear" w:fill="FFFFFF"/>
        </w:rPr>
        <w:t>注：1.“中小微企业”是指按照工业和信息化部等有关部门制定的中小企业划型标准确定的中型、小型、微型企业。个体工商户、农民专业合作社、农村集体经济组织的相关信用信息共享工作参照本实施方案执行。</w:t>
      </w:r>
      <w:r>
        <w:rPr>
          <w:rFonts w:hint="eastAsia"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0"/>
          <w:szCs w:val="20"/>
          <w:bdr w:val="none" w:color="auto" w:sz="0" w:space="0"/>
          <w:shd w:val="clear" w:fill="FFFFFF"/>
        </w:rPr>
        <w:t>　　　　2.“物理归集”共享方式是指数据提供单位将相关信息传输至平台，由平台进行存储；“接口调用”共享方式是指数据提供单位向平台开放数据接口，由平台根据企业授权调用信息；“数据核验”共享方式是指平台向数据提供单位发送需要核验的信息，由数据提供单位反馈核验结果。</w:t>
      </w:r>
      <w:r>
        <w:rPr>
          <w:rFonts w:hint="eastAsia"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0"/>
          <w:szCs w:val="20"/>
          <w:bdr w:val="none" w:color="auto" w:sz="0" w:space="0"/>
          <w:shd w:val="clear" w:fill="FFFFFF"/>
        </w:rPr>
        <w:t>　　　　3.“经企业授权”是指在充分告知企业相关风险的前提下，通过企业书面授权或企业实名注册后线上授权等方式进行授权。</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B203C"/>
    <w:rsid w:val="309A0D47"/>
    <w:rsid w:val="5170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2022-07-26T02:31:00Z</dcterms:created>
  <dc:creator>HP</dc:creator>
  <cp:lastModifiedBy>张诗韵</cp:lastModifiedBy>
  <dcterms:modified xsi:type="dcterms:W3CDTF">2023-09-11T01:41:41Z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44F1414DE6F7420DA9BBEAF44C59B9A4</vt:lpwstr>
  </property>
</Properties>
</file>