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重庆市南岸区发展和改革委员会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制定</w:t>
      </w:r>
      <w:r>
        <w:rPr>
          <w:rFonts w:ascii="Times New Roman" w:hAnsi="Times New Roman" w:eastAsia="方正小标宋_GBK"/>
          <w:sz w:val="44"/>
          <w:szCs w:val="44"/>
        </w:rPr>
        <w:t>我区农业用水指导价格的通知</w:t>
      </w:r>
    </w:p>
    <w:p>
      <w:pPr>
        <w:pStyle w:val="15"/>
        <w:spacing w:line="574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南岸发改〔20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各镇人民政府，各有关单位：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为深入贯彻落实国务院</w:t>
      </w:r>
      <w:r>
        <w:rPr>
          <w:rFonts w:hint="eastAsia" w:ascii="Times New Roman" w:hAnsi="Times New Roman" w:eastAsia="方正仿宋_GBK"/>
          <w:sz w:val="32"/>
          <w:szCs w:val="32"/>
        </w:rPr>
        <w:t>办公厅</w:t>
      </w:r>
      <w:r>
        <w:rPr>
          <w:rFonts w:ascii="Times New Roman" w:hAnsi="Times New Roman" w:eastAsia="方正仿宋_GBK"/>
          <w:sz w:val="32"/>
          <w:szCs w:val="32"/>
        </w:rPr>
        <w:t>、市政府</w:t>
      </w:r>
      <w:r>
        <w:rPr>
          <w:rFonts w:hint="eastAsia" w:ascii="Times New Roman" w:hAnsi="Times New Roman" w:eastAsia="方正仿宋_GBK"/>
          <w:sz w:val="32"/>
          <w:szCs w:val="32"/>
        </w:rPr>
        <w:t>办公厅</w:t>
      </w:r>
      <w:r>
        <w:rPr>
          <w:rFonts w:ascii="Times New Roman" w:hAnsi="Times New Roman" w:eastAsia="方正仿宋_GBK"/>
          <w:sz w:val="32"/>
          <w:szCs w:val="32"/>
        </w:rPr>
        <w:t>关于推进农业水价综合改革有关文件精神，建立健全我区农业水价形成机制，进一步规范农业用水价格管理，保护和合理利用水资源，促进农业节水， 保障水利事业的可持续发展，根据《重庆市人民政府办公厅关于推进农业水价综合改革（试点）的实施意见》（渝府办发〔201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〕150号）文件要求，结合我区实际，制定了我区农业水价最高指导价标准，现将有关事项通知如下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一、农业水价价格管理形式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我区农业水价实行政府指导价与市场调节价相结合的价格管理形式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区属中小型灌区骨干工程农业水价、小型水利工程农业水价实行政府指导价，社会资本投入建设、农村集体所有、用户自建自用及供方与终端用户签订供水价格协议的，由供需双方协商议定价格。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二、农业水价政府指导价标准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农业水价实行差别化价格机制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区别粮食作物、经济作物、养殖业等不同用水类型，实行分类水价，区分提水灌溉和自流灌溉供水价格。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提水灌溉供水价格：粮食作物为1.01元／m³，经济作物为1.04元／m³、养殖业为 1.07 元／m³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自流灌溉供水价格：粮食作物为0.15元／m3、经济作物为0.18元／m3、养殖业为0.21元／m3。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以上农业用水政府指导价标准为最高限价，各农业用水经营管理单位可根据实际情况下浮执行，具体执行价格报各镇人民政府登记。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</w:t>
      </w:r>
      <w:r>
        <w:rPr>
          <w:rFonts w:hint="eastAsia" w:ascii="Times New Roman" w:hAnsi="Times New Roman" w:eastAsia="方正黑体_GBK"/>
          <w:sz w:val="32"/>
          <w:szCs w:val="32"/>
        </w:rPr>
        <w:t>农业水价</w:t>
      </w:r>
      <w:r>
        <w:rPr>
          <w:rFonts w:ascii="Times New Roman" w:hAnsi="Times New Roman" w:eastAsia="方正黑体_GBK"/>
          <w:sz w:val="32"/>
          <w:szCs w:val="32"/>
        </w:rPr>
        <w:t>超定额累进加价制度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农业用水实行超定额累进加价制度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以既定水权的三个控制目标：节水鼓励线、初始水权线、耗水警戒线为基础实行阶梯价格制度，即用水量在节水鼓励线及以下的按照水价的90</w:t>
      </w:r>
      <w:r>
        <w:rPr>
          <w:rFonts w:hint="eastAsia" w:ascii="Times New Roman" w:hAnsi="Times New Roman" w:eastAsia="方正仿宋_GBK"/>
          <w:sz w:val="32"/>
          <w:szCs w:val="32"/>
        </w:rPr>
        <w:t>%</w:t>
      </w:r>
      <w:r>
        <w:rPr>
          <w:rFonts w:ascii="Times New Roman" w:hAnsi="Times New Roman" w:eastAsia="方正仿宋_GBK"/>
          <w:sz w:val="32"/>
          <w:szCs w:val="32"/>
        </w:rPr>
        <w:t>收取水费；用水量在节水鼓励线以上，初始水权线及以下的按照水价的95</w:t>
      </w:r>
      <w:r>
        <w:rPr>
          <w:rFonts w:hint="eastAsia" w:ascii="Times New Roman" w:hAnsi="Times New Roman" w:eastAsia="方正仿宋_GBK"/>
          <w:sz w:val="32"/>
          <w:szCs w:val="32"/>
        </w:rPr>
        <w:t>%</w:t>
      </w:r>
      <w:r>
        <w:rPr>
          <w:rFonts w:ascii="Times New Roman" w:hAnsi="Times New Roman" w:eastAsia="方正仿宋_GBK"/>
          <w:sz w:val="32"/>
          <w:szCs w:val="32"/>
        </w:rPr>
        <w:t>收取水费；用水量在初始水权线以上，耗水警戒线及以下的按照水价的105</w:t>
      </w:r>
      <w:r>
        <w:rPr>
          <w:rFonts w:hint="eastAsia" w:ascii="Times New Roman" w:hAnsi="Times New Roman" w:eastAsia="方正仿宋_GBK"/>
          <w:sz w:val="32"/>
          <w:szCs w:val="32"/>
        </w:rPr>
        <w:t>%</w:t>
      </w:r>
      <w:r>
        <w:rPr>
          <w:rFonts w:ascii="Times New Roman" w:hAnsi="Times New Roman" w:eastAsia="方正仿宋_GBK"/>
          <w:sz w:val="32"/>
          <w:szCs w:val="32"/>
        </w:rPr>
        <w:t>收取水费；用水量在耗水警戒线以上的按照水价的110</w:t>
      </w:r>
      <w:r>
        <w:rPr>
          <w:rFonts w:hint="eastAsia" w:ascii="Times New Roman" w:hAnsi="Times New Roman" w:eastAsia="方正仿宋_GBK"/>
          <w:sz w:val="32"/>
          <w:szCs w:val="32"/>
        </w:rPr>
        <w:t>%</w:t>
      </w:r>
      <w:r>
        <w:rPr>
          <w:rFonts w:ascii="Times New Roman" w:hAnsi="Times New Roman" w:eastAsia="方正仿宋_GBK"/>
          <w:sz w:val="32"/>
          <w:szCs w:val="32"/>
        </w:rPr>
        <w:t>收取水费。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本通知自发文之日起执行。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农业用水经营管理单位应通过供水合同或协议明确供水结算价格、供水量、供水面积、供水对象、供水范围及双方的权利和义务，水费征收按实际出口表计征收，按方计费，并严格执行价格公示制度，公开用水指标、实用水量、水价标准、水费额度，增强水费征收的透明度，坚决防止乱加价、乱收费。原有关规定凡与本通知不符的，按本通知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3520" w:firstLineChars="11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重庆市南岸区发展和改革委员会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2024年11月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黑体" w:eastAsia="方正仿宋_GBK" w:cs="黑体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</w:pPr>
      <w:r>
        <w:rPr>
          <w:rFonts w:hint="eastAsia" w:ascii="方正仿宋_GBK" w:hAnsi="黑体" w:eastAsia="方正仿宋_GBK" w:cs="黑体"/>
          <w:color w:val="333333"/>
          <w:sz w:val="32"/>
          <w:szCs w:val="32"/>
          <w:shd w:val="clear" w:color="auto" w:fill="FFFFFF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624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4962525</wp:posOffset>
              </wp:positionH>
              <wp:positionV relativeFrom="paragraph">
                <wp:posOffset>-243840</wp:posOffset>
              </wp:positionV>
              <wp:extent cx="470535" cy="26987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75pt;margin-top:-19.2pt;height:21.25pt;width:37.05pt;mso-position-horizontal-relative:margin;z-index:251661312;mso-width-relative:page;mso-height-relative:page;" filled="f" stroked="f" coordsize="21600,21600" o:gfxdata="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oCglNkAAAAJAQAADwAAAAAAAAABACAAAAAiAAAAZHJzL2Rvd25yZXYu&#10;eG1sUEsBAhQAFAAAAAgAh07iQLR7KNMzAgAAVw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ragraph">
                <wp:posOffset>100330</wp:posOffset>
              </wp:positionV>
              <wp:extent cx="5615940" cy="0"/>
              <wp:effectExtent l="0" t="0" r="22860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pt;margin-top:7.9pt;height:0pt;width:442.2pt;mso-position-horizontal-relative:margin;z-index:251660288;mso-width-relative:page;mso-height-relative:page;" filled="f" stroked="t" coordsize="21600,21600" o:gfxdata="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naczdMAAAAG&#10;AQAADwAAAAAAAAABACAAAAAiAAAAZHJzL2Rvd25yZXYueG1sUEsBAhQAFAAAAAgAh07iQPSFjKv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</w:t>
    </w:r>
  </w:p>
  <w:p>
    <w:pPr>
      <w:pStyle w:val="7"/>
      <w:ind w:firstLine="3935" w:firstLineChars="14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南岸区发展和改革委员会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422910</wp:posOffset>
              </wp:positionV>
              <wp:extent cx="5615940" cy="0"/>
              <wp:effectExtent l="0" t="0" r="2286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5pt;margin-top:33.3pt;height:0pt;width:442.2pt;z-index:251659264;mso-width-relative:page;mso-height-relative:page;" filled="f" stroked="t" coordsize="21600,21600" o:gfxdata="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6D170QAAAAcBAAAP&#10;AAAAAAAAAAEAIAAAACIAAABkcnMvZG93bnJldi54bWxQSwECFAAUAAAACACHTuJA5pNfBuYBAACy&#10;AwAADgAAAAAAAAABACAAAAAg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47345" cy="347345"/>
          <wp:effectExtent l="0" t="0" r="14605" b="14605"/>
          <wp:docPr id="47" name="图片 4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4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345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重庆市南岸区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发展和改革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委员会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MjY3Njk4ZGQ1YmViNDA1OWQwMjA1MTA4NDQyYmUifQ=="/>
  </w:docVars>
  <w:rsids>
    <w:rsidRoot w:val="00172A27"/>
    <w:rsid w:val="000122D9"/>
    <w:rsid w:val="00172A27"/>
    <w:rsid w:val="001978E1"/>
    <w:rsid w:val="001A34C7"/>
    <w:rsid w:val="00604748"/>
    <w:rsid w:val="00660317"/>
    <w:rsid w:val="007A52B3"/>
    <w:rsid w:val="009B0FC2"/>
    <w:rsid w:val="009D27E5"/>
    <w:rsid w:val="00A31E39"/>
    <w:rsid w:val="00B1140A"/>
    <w:rsid w:val="00B11D87"/>
    <w:rsid w:val="00B54DB5"/>
    <w:rsid w:val="00CA3C21"/>
    <w:rsid w:val="00F36845"/>
    <w:rsid w:val="016C23E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3352AF"/>
    <w:rsid w:val="1CF734C9"/>
    <w:rsid w:val="1DEC284C"/>
    <w:rsid w:val="1E6523AC"/>
    <w:rsid w:val="22440422"/>
    <w:rsid w:val="22B626C9"/>
    <w:rsid w:val="22BB4BBB"/>
    <w:rsid w:val="25EB1AF4"/>
    <w:rsid w:val="2DD05FE1"/>
    <w:rsid w:val="2EAE3447"/>
    <w:rsid w:val="31A15F24"/>
    <w:rsid w:val="34F44E6F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62137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1A4B02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样式2"/>
    <w:basedOn w:val="1"/>
    <w:qFormat/>
    <w:uiPriority w:val="0"/>
    <w:pPr>
      <w:jc w:val="center"/>
    </w:pPr>
    <w:rPr>
      <w:sz w:val="44"/>
    </w:rPr>
  </w:style>
  <w:style w:type="character" w:customStyle="1" w:styleId="16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8">
    <w:name w:val="批注文字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2</Pages>
  <Words>652</Words>
  <Characters>3721</Characters>
  <Lines>31</Lines>
  <Paragraphs>8</Paragraphs>
  <TotalTime>8</TotalTime>
  <ScaleCrop>false</ScaleCrop>
  <LinksUpToDate>false</LinksUpToDate>
  <CharactersWithSpaces>4365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我自然</cp:lastModifiedBy>
  <cp:lastPrinted>2022-06-06T16:09:00Z</cp:lastPrinted>
  <dcterms:modified xsi:type="dcterms:W3CDTF">2024-12-12T07:22:19Z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48C61CB29D3F4D9384F5922CF0F7FFB4</vt:lpwstr>
  </property>
</Properties>
</file>