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157C2">
      <w:pPr>
        <w:pStyle w:val="17"/>
        <w:bidi w:val="0"/>
      </w:pPr>
    </w:p>
    <w:p w14:paraId="14FE40F2">
      <w:pPr>
        <w:widowControl/>
        <w:spacing w:before="78" w:beforeLines="25" w:after="78" w:afterLines="25"/>
        <w:jc w:val="center"/>
        <w:rPr>
          <w:rFonts w:hint="eastAsia" w:ascii="方正小标宋_GBK" w:hAnsi="Times New Roman" w:eastAsia="方正小标宋_GBK"/>
          <w:color w:val="auto"/>
          <w:kern w:val="0"/>
          <w:sz w:val="62"/>
          <w:szCs w:val="36"/>
        </w:rPr>
      </w:pPr>
      <w:r>
        <w:rPr>
          <w:rFonts w:hint="eastAsia" w:ascii="方正小标宋_GBK" w:hAnsi="Times New Roman" w:eastAsia="方正小标宋_GBK"/>
          <w:color w:val="auto"/>
          <w:kern w:val="0"/>
          <w:sz w:val="62"/>
          <w:szCs w:val="36"/>
        </w:rPr>
        <w:t>南岸区中等职业教育质量</w:t>
      </w:r>
    </w:p>
    <w:p w14:paraId="06CCF6C8">
      <w:pPr>
        <w:widowControl/>
        <w:spacing w:before="78" w:beforeLines="25" w:after="78" w:afterLines="25"/>
        <w:jc w:val="center"/>
        <w:rPr>
          <w:rFonts w:ascii="方正小标宋_GBK" w:hAnsi="Times New Roman" w:eastAsia="方正小标宋_GBK"/>
          <w:color w:val="auto"/>
          <w:kern w:val="0"/>
          <w:sz w:val="62"/>
          <w:szCs w:val="36"/>
        </w:rPr>
      </w:pPr>
      <w:r>
        <w:rPr>
          <w:rFonts w:hint="eastAsia" w:ascii="方正小标宋_GBK" w:hAnsi="Times New Roman" w:eastAsia="方正小标宋_GBK"/>
          <w:color w:val="auto"/>
          <w:kern w:val="0"/>
          <w:sz w:val="62"/>
          <w:szCs w:val="36"/>
        </w:rPr>
        <w:t>年度报告（20</w:t>
      </w:r>
      <w:r>
        <w:rPr>
          <w:rFonts w:ascii="方正小标宋_GBK" w:hAnsi="Times New Roman" w:eastAsia="方正小标宋_GBK"/>
          <w:color w:val="auto"/>
          <w:kern w:val="0"/>
          <w:sz w:val="62"/>
          <w:szCs w:val="36"/>
        </w:rPr>
        <w:t>2</w:t>
      </w:r>
      <w:r>
        <w:rPr>
          <w:rFonts w:hint="eastAsia" w:ascii="方正小标宋_GBK" w:hAnsi="Times New Roman" w:eastAsia="方正小标宋_GBK"/>
          <w:color w:val="auto"/>
          <w:kern w:val="0"/>
          <w:sz w:val="62"/>
          <w:szCs w:val="36"/>
          <w:lang w:val="en-US" w:eastAsia="zh-CN"/>
        </w:rPr>
        <w:t>4</w:t>
      </w:r>
      <w:r>
        <w:rPr>
          <w:rFonts w:hint="eastAsia" w:ascii="方正小标宋_GBK" w:hAnsi="Times New Roman" w:eastAsia="方正小标宋_GBK"/>
          <w:color w:val="auto"/>
          <w:kern w:val="0"/>
          <w:sz w:val="62"/>
          <w:szCs w:val="36"/>
        </w:rPr>
        <w:t>）</w:t>
      </w:r>
    </w:p>
    <w:p w14:paraId="36A84642">
      <w:pPr>
        <w:spacing w:line="520" w:lineRule="exact"/>
        <w:rPr>
          <w:rFonts w:ascii="方正黑体_GBK" w:hAnsi="等线" w:eastAsia="方正黑体_GBK"/>
          <w:color w:val="auto"/>
          <w:sz w:val="28"/>
          <w:szCs w:val="28"/>
        </w:rPr>
      </w:pPr>
    </w:p>
    <w:p w14:paraId="4CA58E03">
      <w:pPr>
        <w:spacing w:line="520" w:lineRule="exact"/>
        <w:rPr>
          <w:rFonts w:ascii="方正黑体_GBK" w:hAnsi="等线" w:eastAsia="方正黑体_GBK"/>
          <w:color w:val="auto"/>
          <w:sz w:val="28"/>
          <w:szCs w:val="28"/>
        </w:rPr>
      </w:pPr>
    </w:p>
    <w:p w14:paraId="5FE6A5D0">
      <w:pPr>
        <w:spacing w:line="520" w:lineRule="exact"/>
        <w:rPr>
          <w:rFonts w:ascii="方正黑体_GBK" w:hAnsi="等线" w:eastAsia="方正黑体_GBK"/>
          <w:color w:val="auto"/>
          <w:sz w:val="28"/>
          <w:szCs w:val="28"/>
        </w:rPr>
      </w:pPr>
    </w:p>
    <w:p w14:paraId="69FFDB77">
      <w:pPr>
        <w:spacing w:line="520" w:lineRule="exact"/>
        <w:rPr>
          <w:rFonts w:ascii="方正黑体_GBK" w:hAnsi="等线" w:eastAsia="方正黑体_GBK"/>
          <w:color w:val="auto"/>
          <w:sz w:val="28"/>
          <w:szCs w:val="28"/>
        </w:rPr>
      </w:pPr>
    </w:p>
    <w:p w14:paraId="18207B94">
      <w:pPr>
        <w:spacing w:line="520" w:lineRule="exact"/>
        <w:rPr>
          <w:rFonts w:ascii="方正黑体_GBK" w:hAnsi="等线" w:eastAsia="方正黑体_GBK"/>
          <w:color w:val="auto"/>
          <w:sz w:val="28"/>
          <w:szCs w:val="28"/>
        </w:rPr>
      </w:pPr>
    </w:p>
    <w:p w14:paraId="567A2CE5">
      <w:pPr>
        <w:spacing w:line="520" w:lineRule="exact"/>
        <w:rPr>
          <w:rFonts w:ascii="方正黑体_GBK" w:hAnsi="等线" w:eastAsia="方正黑体_GBK"/>
          <w:color w:val="auto"/>
          <w:sz w:val="28"/>
          <w:szCs w:val="28"/>
        </w:rPr>
      </w:pPr>
    </w:p>
    <w:p w14:paraId="4E7C3CC0">
      <w:pPr>
        <w:spacing w:line="520" w:lineRule="exact"/>
        <w:rPr>
          <w:rFonts w:ascii="方正黑体_GBK" w:hAnsi="等线" w:eastAsia="方正黑体_GBK"/>
          <w:color w:val="auto"/>
          <w:sz w:val="28"/>
          <w:szCs w:val="28"/>
        </w:rPr>
      </w:pPr>
    </w:p>
    <w:p w14:paraId="05B71740">
      <w:pPr>
        <w:spacing w:line="520" w:lineRule="exact"/>
        <w:rPr>
          <w:rFonts w:ascii="方正黑体_GBK" w:hAnsi="等线" w:eastAsia="方正黑体_GBK"/>
          <w:color w:val="auto"/>
          <w:sz w:val="28"/>
          <w:szCs w:val="28"/>
        </w:rPr>
      </w:pPr>
    </w:p>
    <w:p w14:paraId="6C1D3528">
      <w:pPr>
        <w:spacing w:line="520" w:lineRule="exact"/>
        <w:rPr>
          <w:rFonts w:ascii="方正黑体_GBK" w:hAnsi="等线" w:eastAsia="方正黑体_GBK"/>
          <w:color w:val="auto"/>
          <w:sz w:val="28"/>
          <w:szCs w:val="28"/>
        </w:rPr>
      </w:pPr>
    </w:p>
    <w:p w14:paraId="41E8476A">
      <w:pPr>
        <w:spacing w:line="560" w:lineRule="exact"/>
        <w:jc w:val="center"/>
        <w:rPr>
          <w:rFonts w:ascii="方正小标宋_GBK" w:hAnsi="等线" w:eastAsia="方正小标宋_GBK"/>
          <w:bCs/>
          <w:color w:val="auto"/>
          <w:sz w:val="48"/>
          <w:szCs w:val="28"/>
        </w:rPr>
      </w:pPr>
      <w:bookmarkStart w:id="0" w:name="_Toc15139"/>
      <w:bookmarkStart w:id="1" w:name="_Toc22776"/>
      <w:bookmarkStart w:id="2" w:name="_Toc21178"/>
      <w:bookmarkStart w:id="3" w:name="_Toc21918"/>
      <w:bookmarkStart w:id="4" w:name="_Toc3575"/>
      <w:bookmarkStart w:id="5" w:name="_Toc19785"/>
      <w:bookmarkStart w:id="6" w:name="_Toc28656"/>
      <w:bookmarkStart w:id="7" w:name="_Toc6009"/>
      <w:bookmarkStart w:id="8" w:name="_Toc4672"/>
      <w:r>
        <w:rPr>
          <w:rFonts w:hint="eastAsia" w:ascii="方正小标宋_GBK" w:hAnsi="等线" w:eastAsia="方正小标宋_GBK"/>
          <w:bCs/>
          <w:color w:val="auto"/>
          <w:sz w:val="48"/>
          <w:szCs w:val="28"/>
        </w:rPr>
        <w:t>南岸区教育委员会</w:t>
      </w:r>
      <w:bookmarkEnd w:id="0"/>
      <w:bookmarkEnd w:id="1"/>
      <w:bookmarkEnd w:id="2"/>
      <w:bookmarkEnd w:id="3"/>
      <w:bookmarkEnd w:id="4"/>
      <w:bookmarkEnd w:id="5"/>
      <w:bookmarkEnd w:id="6"/>
      <w:bookmarkEnd w:id="7"/>
      <w:bookmarkEnd w:id="8"/>
    </w:p>
    <w:p w14:paraId="07138B77">
      <w:pPr>
        <w:spacing w:line="560" w:lineRule="exact"/>
        <w:jc w:val="center"/>
        <w:rPr>
          <w:rFonts w:ascii="方正小标宋_GBK" w:hAnsi="等线" w:eastAsia="方正小标宋_GBK"/>
          <w:bCs/>
          <w:color w:val="auto"/>
          <w:sz w:val="48"/>
          <w:szCs w:val="28"/>
        </w:rPr>
      </w:pPr>
    </w:p>
    <w:p w14:paraId="4B2969F0">
      <w:pPr>
        <w:spacing w:line="560" w:lineRule="exact"/>
        <w:jc w:val="center"/>
        <w:rPr>
          <w:rFonts w:ascii="方正小标宋_GBK" w:hAnsi="等线" w:eastAsia="方正小标宋_GBK"/>
          <w:bCs/>
          <w:color w:val="auto"/>
          <w:sz w:val="48"/>
          <w:szCs w:val="28"/>
        </w:rPr>
      </w:pPr>
      <w:r>
        <w:rPr>
          <w:rFonts w:hint="eastAsia" w:ascii="方正小标宋_GBK" w:hAnsi="等线" w:eastAsia="方正小标宋_GBK"/>
          <w:bCs/>
          <w:color w:val="auto"/>
          <w:sz w:val="48"/>
          <w:szCs w:val="28"/>
        </w:rPr>
        <w:t>2024年</w:t>
      </w:r>
      <w:r>
        <w:rPr>
          <w:rFonts w:ascii="方正小标宋_GBK" w:hAnsi="等线" w:eastAsia="方正小标宋_GBK"/>
          <w:bCs/>
          <w:color w:val="auto"/>
          <w:sz w:val="48"/>
          <w:szCs w:val="28"/>
        </w:rPr>
        <w:t>1</w:t>
      </w:r>
      <w:r>
        <w:rPr>
          <w:rFonts w:hint="eastAsia" w:ascii="方正小标宋_GBK" w:hAnsi="等线" w:eastAsia="方正小标宋_GBK"/>
          <w:bCs/>
          <w:color w:val="auto"/>
          <w:sz w:val="48"/>
          <w:szCs w:val="28"/>
          <w:lang w:val="en-US" w:eastAsia="zh-CN"/>
        </w:rPr>
        <w:t>2</w:t>
      </w:r>
      <w:r>
        <w:rPr>
          <w:rFonts w:hint="eastAsia" w:ascii="方正小标宋_GBK" w:hAnsi="等线" w:eastAsia="方正小标宋_GBK"/>
          <w:bCs/>
          <w:color w:val="auto"/>
          <w:sz w:val="48"/>
          <w:szCs w:val="28"/>
        </w:rPr>
        <w:t>月</w:t>
      </w:r>
    </w:p>
    <w:p w14:paraId="2335717D">
      <w:pPr>
        <w:rPr>
          <w:rFonts w:hint="eastAsia" w:ascii="方正黑体_GBK" w:hAnsi="Times New Roman" w:eastAsia="方正黑体_GBK" w:cs="Times New Roman"/>
          <w:bCs/>
          <w:color w:val="auto"/>
          <w:sz w:val="32"/>
          <w:szCs w:val="32"/>
        </w:rPr>
      </w:pPr>
    </w:p>
    <w:p w14:paraId="43C16F22">
      <w:pPr>
        <w:rPr>
          <w:rFonts w:hint="eastAsia" w:ascii="方正黑体_GBK" w:hAnsi="Times New Roman" w:eastAsia="方正黑体_GBK" w:cs="Times New Roman"/>
          <w:bCs/>
          <w:color w:val="auto"/>
          <w:sz w:val="32"/>
          <w:szCs w:val="32"/>
        </w:rPr>
      </w:pPr>
    </w:p>
    <w:p w14:paraId="6FCF2F2C">
      <w:pPr>
        <w:rPr>
          <w:rFonts w:hint="eastAsia" w:ascii="方正黑体_GBK" w:hAnsi="Times New Roman" w:eastAsia="方正黑体_GBK" w:cs="Times New Roman"/>
          <w:bCs/>
          <w:color w:val="auto"/>
          <w:sz w:val="32"/>
          <w:szCs w:val="32"/>
        </w:rPr>
      </w:pPr>
    </w:p>
    <w:p w14:paraId="792F6A68">
      <w:pPr>
        <w:widowControl/>
        <w:shd w:val="clear" w:color="auto" w:fill="FFFFFF"/>
        <w:spacing w:line="390" w:lineRule="atLeast"/>
        <w:jc w:val="center"/>
        <w:outlineLvl w:val="9"/>
        <w:rPr>
          <w:rFonts w:hint="eastAsia" w:ascii="Times New Roman" w:hAnsi="Times New Roman" w:eastAsia="方正黑体_GBK" w:cs="Times New Roman"/>
          <w:b w:val="0"/>
          <w:color w:val="auto"/>
          <w:kern w:val="2"/>
          <w:sz w:val="32"/>
          <w:szCs w:val="32"/>
          <w:lang w:val="en-US" w:eastAsia="zh-CN" w:bidi="ar-SA"/>
        </w:rPr>
      </w:pPr>
      <w:bookmarkStart w:id="9" w:name="_Toc28494"/>
      <w:bookmarkStart w:id="10" w:name="_Toc19015"/>
      <w:bookmarkStart w:id="11" w:name="_Toc27786"/>
      <w:bookmarkStart w:id="12" w:name="_Toc21675"/>
      <w:bookmarkStart w:id="13" w:name="_Toc28927"/>
    </w:p>
    <w:p w14:paraId="3480857B">
      <w:pPr>
        <w:rPr>
          <w:rFonts w:hint="eastAsia" w:ascii="方正仿宋_GBK" w:hAnsi="Times New Roman" w:eastAsia="方正仿宋_GBK"/>
          <w:sz w:val="32"/>
          <w:szCs w:val="32"/>
        </w:rPr>
      </w:pPr>
      <w:r>
        <w:rPr>
          <w:rFonts w:hint="eastAsia" w:ascii="方正仿宋_GBK" w:hAnsi="Times New Roman" w:eastAsia="方正仿宋_GBK"/>
          <w:sz w:val="32"/>
          <w:szCs w:val="32"/>
        </w:rPr>
        <w:br w:type="page"/>
      </w:r>
    </w:p>
    <w:p w14:paraId="51E8728B">
      <w:pPr>
        <w:widowControl/>
        <w:shd w:val="clear" w:color="auto" w:fill="FFFFFF"/>
        <w:spacing w:line="390" w:lineRule="atLeast"/>
        <w:jc w:val="left"/>
        <w:outlineLvl w:val="9"/>
        <w:rPr>
          <w:rFonts w:hint="default" w:ascii="方正仿宋_GBK" w:hAnsi="Times New Roman" w:eastAsia="方正仿宋_GBK"/>
          <w:sz w:val="32"/>
          <w:szCs w:val="32"/>
          <w:lang w:val="en-US" w:eastAsia="zh-CN"/>
        </w:rPr>
      </w:pPr>
      <w:r>
        <w:rPr>
          <w:rFonts w:hint="eastAsia" w:ascii="方正仿宋_GBK" w:hAnsi="Times New Roman" w:eastAsia="方正仿宋_GBK"/>
          <w:sz w:val="32"/>
          <w:szCs w:val="32"/>
        </w:rPr>
        <w:t>年报公开形</w:t>
      </w:r>
      <w:r>
        <w:rPr>
          <w:rFonts w:ascii="方正仿宋_GBK" w:hAnsi="Times New Roman" w:eastAsia="方正仿宋_GBK"/>
          <w:sz w:val="32"/>
          <w:szCs w:val="32"/>
        </w:rPr>
        <w:t>式</w:t>
      </w:r>
      <w:r>
        <w:rPr>
          <w:rFonts w:hint="eastAsia" w:ascii="方正仿宋_GBK" w:hAnsi="Times New Roman" w:eastAsia="方正仿宋_GBK"/>
          <w:sz w:val="32"/>
          <w:szCs w:val="32"/>
          <w:lang w:val="en-US" w:eastAsia="zh-CN"/>
        </w:rPr>
        <w:t>：重庆市南岸区教育委员会官网</w:t>
      </w:r>
    </w:p>
    <w:p w14:paraId="550C1D29">
      <w:pPr>
        <w:widowControl/>
        <w:shd w:val="clear" w:color="auto" w:fill="FFFFFF"/>
        <w:spacing w:line="390" w:lineRule="atLeast"/>
        <w:jc w:val="left"/>
        <w:outlineLvl w:val="9"/>
        <w:rPr>
          <w:rFonts w:hint="eastAsia" w:ascii="方正仿宋_GBK" w:hAnsi="Times New Roman" w:eastAsia="方正仿宋_GBK"/>
          <w:sz w:val="32"/>
          <w:szCs w:val="32"/>
        </w:rPr>
      </w:pPr>
      <w:r>
        <w:rPr>
          <w:rFonts w:hint="eastAsia" w:ascii="方正仿宋_GBK" w:hAnsi="Times New Roman" w:eastAsia="方正仿宋_GBK"/>
          <w:sz w:val="32"/>
          <w:szCs w:val="32"/>
        </w:rPr>
        <w:t>年报公开</w:t>
      </w:r>
      <w:r>
        <w:rPr>
          <w:rFonts w:ascii="方正仿宋_GBK" w:hAnsi="Times New Roman" w:eastAsia="方正仿宋_GBK"/>
          <w:sz w:val="32"/>
          <w:szCs w:val="32"/>
        </w:rPr>
        <w:t>网址</w:t>
      </w:r>
      <w:r>
        <w:rPr>
          <w:rFonts w:hint="eastAsia" w:ascii="方正仿宋_GBK" w:hAnsi="Times New Roman" w:eastAsia="方正仿宋_GBK"/>
          <w:sz w:val="32"/>
          <w:szCs w:val="32"/>
          <w:lang w:eastAsia="zh-CN"/>
        </w:rPr>
        <w:t>：</w:t>
      </w:r>
      <w:r>
        <w:rPr>
          <w:rFonts w:hint="eastAsia" w:ascii="方正仿宋_GBK" w:hAnsi="Times New Roman" w:eastAsia="方正仿宋_GBK"/>
          <w:sz w:val="32"/>
          <w:szCs w:val="32"/>
          <w:lang w:val="en-US" w:eastAsia="zh-CN"/>
        </w:rPr>
        <w:t>h</w:t>
      </w:r>
      <w:r>
        <w:rPr>
          <w:rFonts w:hint="eastAsia" w:ascii="方正仿宋_GBK" w:hAnsi="Times New Roman" w:eastAsia="方正仿宋_GBK"/>
          <w:sz w:val="32"/>
          <w:szCs w:val="32"/>
        </w:rPr>
        <w:t>ttps://www.cqna.gov.cn</w:t>
      </w:r>
    </w:p>
    <w:p w14:paraId="23E7FEED">
      <w:pPr>
        <w:widowControl/>
        <w:shd w:val="clear" w:color="auto" w:fill="FFFFFF"/>
        <w:spacing w:line="390" w:lineRule="atLeast"/>
        <w:jc w:val="center"/>
        <w:outlineLvl w:val="9"/>
        <w:rPr>
          <w:rFonts w:ascii="方正仿宋_GBK" w:hAnsi="Times New Roman" w:eastAsia="方正仿宋_GBK"/>
          <w:sz w:val="32"/>
          <w:szCs w:val="32"/>
        </w:rPr>
      </w:pPr>
    </w:p>
    <w:p w14:paraId="4FFD61D7">
      <w:pPr>
        <w:widowControl/>
        <w:shd w:val="clear" w:color="auto" w:fill="FFFFFF"/>
        <w:spacing w:line="390" w:lineRule="atLeast"/>
        <w:jc w:val="center"/>
        <w:outlineLvl w:val="9"/>
        <w:rPr>
          <w:rFonts w:ascii="方正仿宋_GBK" w:hAnsi="Times New Roman" w:eastAsia="方正仿宋_GBK"/>
          <w:sz w:val="32"/>
          <w:szCs w:val="32"/>
        </w:rPr>
      </w:pPr>
    </w:p>
    <w:p w14:paraId="41CF81A5">
      <w:pPr>
        <w:widowControl/>
        <w:shd w:val="clear" w:color="auto" w:fill="FFFFFF"/>
        <w:spacing w:line="390" w:lineRule="atLeast"/>
        <w:jc w:val="center"/>
        <w:outlineLvl w:val="9"/>
        <w:rPr>
          <w:rFonts w:ascii="方正仿宋_GBK" w:hAnsi="Times New Roman" w:eastAsia="方正仿宋_GBK"/>
          <w:sz w:val="32"/>
          <w:szCs w:val="32"/>
        </w:rPr>
      </w:pPr>
    </w:p>
    <w:p w14:paraId="1D370AB4">
      <w:pPr>
        <w:widowControl/>
        <w:shd w:val="clear" w:color="auto" w:fill="FFFFFF"/>
        <w:spacing w:line="390" w:lineRule="atLeast"/>
        <w:jc w:val="center"/>
        <w:outlineLvl w:val="9"/>
        <w:rPr>
          <w:rFonts w:ascii="方正仿宋_GBK" w:hAnsi="Times New Roman" w:eastAsia="方正仿宋_GBK"/>
          <w:sz w:val="32"/>
          <w:szCs w:val="32"/>
        </w:rPr>
      </w:pPr>
    </w:p>
    <w:p w14:paraId="6D5FA79E">
      <w:pPr>
        <w:widowControl/>
        <w:shd w:val="clear" w:color="auto" w:fill="FFFFFF"/>
        <w:spacing w:line="390" w:lineRule="atLeast"/>
        <w:jc w:val="center"/>
        <w:outlineLvl w:val="9"/>
        <w:rPr>
          <w:rFonts w:ascii="方正仿宋_GBK" w:hAnsi="Times New Roman" w:eastAsia="方正仿宋_GBK"/>
          <w:sz w:val="32"/>
          <w:szCs w:val="32"/>
        </w:rPr>
      </w:pPr>
    </w:p>
    <w:p w14:paraId="0E97A66A">
      <w:pPr>
        <w:widowControl/>
        <w:shd w:val="clear" w:color="auto" w:fill="FFFFFF"/>
        <w:spacing w:line="390" w:lineRule="atLeast"/>
        <w:jc w:val="both"/>
        <w:outlineLvl w:val="9"/>
        <w:rPr>
          <w:rFonts w:ascii="方正仿宋_GBK" w:hAnsi="Times New Roman" w:eastAsia="方正仿宋_GBK"/>
          <w:sz w:val="32"/>
          <w:szCs w:val="32"/>
        </w:rPr>
      </w:pPr>
    </w:p>
    <w:p w14:paraId="62550CCA">
      <w:pPr>
        <w:widowControl/>
        <w:shd w:val="clear" w:color="auto" w:fill="FFFFFF"/>
        <w:spacing w:line="390" w:lineRule="atLeast"/>
        <w:jc w:val="center"/>
        <w:outlineLvl w:val="9"/>
        <w:rPr>
          <w:rFonts w:ascii="方正仿宋_GBK" w:hAnsi="Times New Roman" w:eastAsia="方正仿宋_GBK"/>
          <w:sz w:val="32"/>
          <w:szCs w:val="32"/>
        </w:rPr>
      </w:pPr>
    </w:p>
    <w:p w14:paraId="15C65657">
      <w:pPr>
        <w:widowControl/>
        <w:shd w:val="clear" w:color="auto" w:fill="FFFFFF"/>
        <w:spacing w:line="390" w:lineRule="atLeast"/>
        <w:jc w:val="center"/>
        <w:outlineLvl w:val="9"/>
        <w:rPr>
          <w:rFonts w:ascii="方正仿宋_GBK" w:hAnsi="Times New Roman" w:eastAsia="方正仿宋_GBK"/>
          <w:sz w:val="32"/>
          <w:szCs w:val="32"/>
        </w:rPr>
      </w:pPr>
    </w:p>
    <w:p w14:paraId="6D232448">
      <w:pPr>
        <w:widowControl/>
        <w:shd w:val="clear" w:color="auto" w:fill="FFFFFF"/>
        <w:spacing w:line="390" w:lineRule="atLeast"/>
        <w:jc w:val="center"/>
        <w:outlineLvl w:val="9"/>
        <w:rPr>
          <w:rFonts w:ascii="方正仿宋_GBK" w:hAnsi="Times New Roman" w:eastAsia="方正仿宋_GBK"/>
          <w:sz w:val="32"/>
          <w:szCs w:val="32"/>
        </w:rPr>
      </w:pPr>
    </w:p>
    <w:p w14:paraId="579EAED6">
      <w:pPr>
        <w:widowControl/>
        <w:shd w:val="clear" w:color="auto" w:fill="FFFFFF"/>
        <w:spacing w:line="390" w:lineRule="atLeast"/>
        <w:jc w:val="center"/>
        <w:outlineLvl w:val="9"/>
        <w:rPr>
          <w:rFonts w:ascii="方正仿宋_GBK" w:hAnsi="Times New Roman" w:eastAsia="方正仿宋_GBK"/>
          <w:sz w:val="32"/>
          <w:szCs w:val="32"/>
        </w:rPr>
      </w:pPr>
    </w:p>
    <w:p w14:paraId="7417F8A7">
      <w:pPr>
        <w:widowControl/>
        <w:shd w:val="clear" w:color="auto" w:fill="FFFFFF"/>
        <w:spacing w:line="390" w:lineRule="atLeast"/>
        <w:jc w:val="center"/>
        <w:outlineLvl w:val="9"/>
        <w:rPr>
          <w:rFonts w:ascii="方正仿宋_GBK" w:hAnsi="Times New Roman" w:eastAsia="方正仿宋_GBK"/>
          <w:sz w:val="32"/>
          <w:szCs w:val="32"/>
        </w:rPr>
      </w:pPr>
    </w:p>
    <w:p w14:paraId="645C8569">
      <w:pPr>
        <w:widowControl/>
        <w:shd w:val="clear" w:color="auto" w:fill="FFFFFF"/>
        <w:spacing w:line="390" w:lineRule="atLeast"/>
        <w:jc w:val="center"/>
        <w:outlineLvl w:val="9"/>
        <w:rPr>
          <w:rFonts w:ascii="方正仿宋_GBK" w:hAnsi="Times New Roman" w:eastAsia="方正仿宋_GBK"/>
          <w:sz w:val="32"/>
          <w:szCs w:val="32"/>
        </w:rPr>
      </w:pPr>
    </w:p>
    <w:p w14:paraId="498EB018">
      <w:pPr>
        <w:widowControl/>
        <w:shd w:val="clear" w:color="auto" w:fill="FFFFFF"/>
        <w:spacing w:line="390" w:lineRule="atLeast"/>
        <w:jc w:val="center"/>
        <w:outlineLvl w:val="9"/>
        <w:rPr>
          <w:rFonts w:ascii="方正仿宋_GBK" w:hAnsi="Times New Roman" w:eastAsia="方正仿宋_GBK"/>
          <w:sz w:val="32"/>
          <w:szCs w:val="32"/>
        </w:rPr>
      </w:pPr>
    </w:p>
    <w:p w14:paraId="11DA4D6B">
      <w:pPr>
        <w:widowControl/>
        <w:shd w:val="clear" w:color="auto" w:fill="FFFFFF"/>
        <w:spacing w:line="390" w:lineRule="atLeast"/>
        <w:jc w:val="center"/>
        <w:outlineLvl w:val="9"/>
        <w:rPr>
          <w:rFonts w:ascii="方正仿宋_GBK" w:hAnsi="Times New Roman" w:eastAsia="方正仿宋_GBK"/>
          <w:sz w:val="32"/>
          <w:szCs w:val="32"/>
        </w:rPr>
      </w:pPr>
    </w:p>
    <w:p w14:paraId="236E5F3B">
      <w:pPr>
        <w:widowControl/>
        <w:shd w:val="clear" w:color="auto" w:fill="FFFFFF"/>
        <w:spacing w:line="390" w:lineRule="atLeast"/>
        <w:jc w:val="center"/>
        <w:outlineLvl w:val="9"/>
        <w:rPr>
          <w:rFonts w:ascii="方正仿宋_GBK" w:hAnsi="Times New Roman" w:eastAsia="方正仿宋_GBK"/>
          <w:sz w:val="32"/>
          <w:szCs w:val="32"/>
        </w:rPr>
      </w:pPr>
    </w:p>
    <w:bookmarkEnd w:id="9"/>
    <w:bookmarkEnd w:id="10"/>
    <w:bookmarkEnd w:id="11"/>
    <w:bookmarkEnd w:id="12"/>
    <w:bookmarkEnd w:id="13"/>
    <w:p w14:paraId="004A0561">
      <w:pPr>
        <w:rPr>
          <w:rFonts w:hint="eastAsia" w:ascii="方正仿宋_GBK" w:hAnsi="Times New Roman" w:eastAsia="方正仿宋_GBK"/>
          <w:sz w:val="32"/>
          <w:szCs w:val="32"/>
        </w:rPr>
      </w:pPr>
      <w:r>
        <w:rPr>
          <w:rFonts w:hint="eastAsia" w:ascii="方正仿宋_GBK" w:hAnsi="Times New Roman" w:eastAsia="方正仿宋_GBK"/>
          <w:sz w:val="32"/>
          <w:szCs w:val="32"/>
        </w:rPr>
        <w:br w:type="page"/>
      </w:r>
    </w:p>
    <w:p w14:paraId="6E1736FD">
      <w:pPr>
        <w:jc w:val="center"/>
        <w:rPr>
          <w:rFonts w:hint="eastAsia" w:ascii="方正黑体_GBK" w:hAnsi="Calibri" w:eastAsia="方正黑体_GBK" w:cs="Times New Roman"/>
          <w:sz w:val="44"/>
          <w:szCs w:val="44"/>
        </w:rPr>
      </w:pPr>
      <w:r>
        <w:rPr>
          <w:rFonts w:hint="eastAsia" w:ascii="方正黑体_GBK" w:hAnsi="Calibri" w:eastAsia="方正黑体_GBK" w:cs="Times New Roman"/>
          <w:sz w:val="44"/>
          <w:szCs w:val="44"/>
        </w:rPr>
        <w:t>前言</w:t>
      </w:r>
    </w:p>
    <w:p w14:paraId="5DCE2941">
      <w:pPr>
        <w:widowControl/>
        <w:shd w:val="clear" w:color="auto" w:fill="FFFFFF"/>
        <w:spacing w:line="390" w:lineRule="atLeast"/>
        <w:ind w:left="105" w:leftChars="50" w:firstLine="480" w:firstLineChars="150"/>
        <w:rPr>
          <w:rFonts w:ascii="方正仿宋_GBK" w:hAnsi="Times New Roman" w:eastAsia="方正仿宋_GBK"/>
          <w:sz w:val="32"/>
          <w:szCs w:val="32"/>
        </w:rPr>
      </w:pPr>
    </w:p>
    <w:p w14:paraId="4B4A8782">
      <w:pPr>
        <w:ind w:firstLine="640" w:firstLineChars="200"/>
        <w:rPr>
          <w:rFonts w:hint="eastAsia" w:ascii="方正仿宋_GBK" w:hAnsi="Times New Roman" w:eastAsia="方正仿宋_GBK"/>
          <w:color w:val="0000FF"/>
          <w:sz w:val="32"/>
          <w:szCs w:val="32"/>
          <w:lang w:val="en-US" w:eastAsia="zh-CN"/>
        </w:rPr>
      </w:pPr>
      <w:r>
        <w:rPr>
          <w:rFonts w:hint="eastAsia" w:ascii="方正仿宋_GBK" w:hAnsi="Times New Roman" w:eastAsia="方正仿宋_GBK"/>
          <w:sz w:val="32"/>
          <w:szCs w:val="32"/>
          <w:lang w:val="en-US" w:eastAsia="zh-CN"/>
        </w:rPr>
        <w:t>南岸区</w:t>
      </w:r>
      <w:r>
        <w:rPr>
          <w:rFonts w:hint="eastAsia" w:ascii="方正仿宋_GBK" w:hAnsi="Times New Roman" w:eastAsia="方正仿宋_GBK"/>
          <w:sz w:val="32"/>
          <w:szCs w:val="32"/>
        </w:rPr>
        <w:t>深入贯彻党的二十大精神，</w:t>
      </w:r>
      <w:r>
        <w:rPr>
          <w:rFonts w:ascii="Times New Roman" w:hAnsi="Times New Roman" w:eastAsia="方正仿宋_GBK"/>
          <w:sz w:val="32"/>
          <w:szCs w:val="32"/>
        </w:rPr>
        <w:t>落实《中华人民共和国职业教育法》《国家职业教育改革实施方案》《关于推动现代职业教育高质量发展的意见》和《教育部重庆市人民政府关于推动重庆职业教育高质量发展促进技能型社会建设的意见》《重庆市推动现代职业教育高质量发展若干措施》要求</w:t>
      </w:r>
      <w:r>
        <w:rPr>
          <w:rFonts w:hint="eastAsia" w:ascii="Times New Roman" w:hAnsi="Times New Roman" w:eastAsia="方正仿宋_GBK"/>
          <w:sz w:val="32"/>
          <w:szCs w:val="32"/>
          <w:lang w:val="en-US" w:eastAsia="zh-CN"/>
        </w:rPr>
        <w:t>，</w:t>
      </w:r>
      <w:r>
        <w:rPr>
          <w:rFonts w:ascii="Times New Roman" w:hAnsi="Times New Roman" w:eastAsia="方正仿宋_GBK"/>
          <w:sz w:val="32"/>
          <w:szCs w:val="32"/>
        </w:rPr>
        <w:t>依据</w:t>
      </w:r>
      <w:r>
        <w:rPr>
          <w:rFonts w:eastAsia="方正仿宋_GBK"/>
          <w:color w:val="000000"/>
          <w:kern w:val="0"/>
          <w:sz w:val="32"/>
          <w:szCs w:val="32"/>
          <w:lang w:bidi="ar"/>
        </w:rPr>
        <w:t>《教育部职业教育与成人教育司关于做好中国职业教育质量报告（2024年度）编制、</w:t>
      </w:r>
      <w:r>
        <w:rPr>
          <w:rFonts w:ascii="Times New Roman" w:hAnsi="Times New Roman" w:eastAsia="方正仿宋_GBK"/>
          <w:sz w:val="32"/>
          <w:szCs w:val="32"/>
        </w:rPr>
        <w:t>发布和报送工作的通知》</w:t>
      </w:r>
      <w:r>
        <w:rPr>
          <w:rFonts w:hint="eastAsia" w:ascii="Times New Roman" w:hAnsi="Times New Roman" w:eastAsia="方正仿宋_GBK"/>
          <w:sz w:val="32"/>
          <w:szCs w:val="32"/>
          <w:lang w:val="en-US" w:eastAsia="zh-CN"/>
        </w:rPr>
        <w:t>精神</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健全教育质量年度报告制度，做好2024年职业教育质量年度报告编制、发布和报送工作</w:t>
      </w:r>
      <w:r>
        <w:rPr>
          <w:rFonts w:hint="eastAsia" w:ascii="Times New Roman" w:hAnsi="Times New Roman" w:eastAsia="方正仿宋_GBK"/>
          <w:sz w:val="32"/>
          <w:szCs w:val="32"/>
          <w:lang w:eastAsia="zh-CN"/>
        </w:rPr>
        <w:t>。</w:t>
      </w:r>
    </w:p>
    <w:p w14:paraId="3C0CE678">
      <w:pPr>
        <w:rPr>
          <w:rFonts w:hint="eastAsia" w:ascii="方正仿宋_GBK" w:hAnsi="Times New Roman" w:eastAsia="方正仿宋_GBK"/>
          <w:sz w:val="32"/>
          <w:szCs w:val="32"/>
        </w:rPr>
      </w:pPr>
    </w:p>
    <w:p w14:paraId="50C16FF3">
      <w:pPr>
        <w:rPr>
          <w:rFonts w:hint="eastAsia" w:ascii="方正仿宋_GBK" w:hAnsi="Times New Roman" w:eastAsia="方正仿宋_GBK"/>
          <w:sz w:val="32"/>
          <w:szCs w:val="32"/>
        </w:rPr>
      </w:pPr>
    </w:p>
    <w:p w14:paraId="66300F62">
      <w:pPr>
        <w:rPr>
          <w:rFonts w:hint="eastAsia" w:ascii="方正仿宋_GBK" w:hAnsi="Times New Roman" w:eastAsia="方正仿宋_GBK"/>
          <w:sz w:val="32"/>
          <w:szCs w:val="32"/>
        </w:rPr>
      </w:pPr>
    </w:p>
    <w:p w14:paraId="0CA1F6E2">
      <w:pPr>
        <w:rPr>
          <w:rFonts w:hint="eastAsia" w:ascii="黑体" w:hAnsi="黑体" w:eastAsia="黑体" w:cs="黑体"/>
          <w:bCs/>
          <w:color w:val="auto"/>
          <w:sz w:val="36"/>
          <w:szCs w:val="36"/>
        </w:rPr>
      </w:pPr>
      <w:r>
        <w:rPr>
          <w:rFonts w:hint="eastAsia" w:ascii="黑体" w:hAnsi="黑体" w:eastAsia="黑体" w:cs="黑体"/>
          <w:bCs/>
          <w:color w:val="auto"/>
          <w:sz w:val="36"/>
          <w:szCs w:val="36"/>
        </w:rPr>
        <w:br w:type="page"/>
      </w:r>
    </w:p>
    <w:p w14:paraId="4B2F4897">
      <w:pPr>
        <w:pStyle w:val="17"/>
        <w:tabs>
          <w:tab w:val="right" w:leader="dot" w:pos="8845"/>
        </w:tabs>
        <w:jc w:val="center"/>
        <w:rPr>
          <w:rFonts w:ascii="黑体" w:hAnsi="黑体" w:eastAsia="黑体" w:cs="黑体"/>
          <w:bCs/>
          <w:color w:val="auto"/>
          <w:sz w:val="36"/>
          <w:szCs w:val="36"/>
        </w:rPr>
      </w:pPr>
      <w:r>
        <w:rPr>
          <w:rFonts w:hint="eastAsia" w:ascii="黑体" w:hAnsi="黑体" w:eastAsia="黑体" w:cs="黑体"/>
          <w:bCs/>
          <w:color w:val="auto"/>
          <w:sz w:val="36"/>
          <w:szCs w:val="36"/>
        </w:rPr>
        <w:t>目录</w:t>
      </w:r>
    </w:p>
    <w:p w14:paraId="6BE6DD56">
      <w:pPr>
        <w:pStyle w:val="18"/>
        <w:tabs>
          <w:tab w:val="right" w:leader="dot" w:pos="8845"/>
        </w:tabs>
        <w:rPr>
          <w:rFonts w:hint="eastAsia"/>
        </w:rPr>
      </w:pPr>
      <w:bookmarkStart w:id="14" w:name="_Toc1382"/>
      <w:bookmarkStart w:id="15" w:name="_Toc13954"/>
      <w:r>
        <w:rPr>
          <w:rFonts w:hint="eastAsia"/>
          <w:sz w:val="24"/>
          <w:szCs w:val="24"/>
        </w:rPr>
        <w:fldChar w:fldCharType="begin"/>
      </w:r>
      <w:r>
        <w:rPr>
          <w:rFonts w:hint="eastAsia"/>
          <w:sz w:val="24"/>
          <w:szCs w:val="24"/>
        </w:rPr>
        <w:instrText xml:space="preserve">TOC \o "1-3" \h \u </w:instrText>
      </w:r>
      <w:r>
        <w:rPr>
          <w:rFonts w:hint="eastAsia"/>
          <w:sz w:val="24"/>
          <w:szCs w:val="24"/>
        </w:rPr>
        <w:fldChar w:fldCharType="separate"/>
      </w:r>
      <w:bookmarkEnd w:id="14"/>
      <w:bookmarkEnd w:id="15"/>
      <w:r>
        <w:rPr>
          <w:rFonts w:hint="eastAsia"/>
        </w:rPr>
        <w:fldChar w:fldCharType="begin"/>
      </w:r>
      <w:r>
        <w:rPr>
          <w:rFonts w:hint="eastAsia"/>
        </w:rPr>
        <w:instrText xml:space="preserve"> HYPERLINK \l _Toc14800 </w:instrText>
      </w:r>
      <w:r>
        <w:rPr>
          <w:rFonts w:hint="eastAsia"/>
        </w:rPr>
        <w:fldChar w:fldCharType="separate"/>
      </w:r>
      <w:r>
        <w:rPr>
          <w:rFonts w:hint="eastAsia"/>
        </w:rPr>
        <w:t>1.基本情况</w:t>
      </w:r>
      <w:r>
        <w:rPr>
          <w:rFonts w:hint="eastAsia"/>
        </w:rPr>
        <w:tab/>
      </w:r>
      <w:r>
        <w:rPr>
          <w:rFonts w:hint="eastAsia"/>
        </w:rPr>
        <w:fldChar w:fldCharType="begin"/>
      </w:r>
      <w:r>
        <w:rPr>
          <w:rFonts w:hint="eastAsia"/>
        </w:rPr>
        <w:instrText xml:space="preserve"> PAGEREF _Toc14800 \h </w:instrText>
      </w:r>
      <w:r>
        <w:rPr>
          <w:rFonts w:hint="eastAsia"/>
        </w:rPr>
        <w:fldChar w:fldCharType="separate"/>
      </w:r>
      <w:r>
        <w:rPr>
          <w:rFonts w:hint="eastAsia"/>
        </w:rPr>
        <w:t>1</w:t>
      </w:r>
      <w:r>
        <w:rPr>
          <w:rFonts w:hint="eastAsia"/>
        </w:rPr>
        <w:fldChar w:fldCharType="end"/>
      </w:r>
      <w:r>
        <w:rPr>
          <w:rFonts w:hint="eastAsia"/>
        </w:rPr>
        <w:fldChar w:fldCharType="end"/>
      </w:r>
    </w:p>
    <w:p w14:paraId="1401557E">
      <w:pPr>
        <w:pStyle w:val="18"/>
        <w:tabs>
          <w:tab w:val="right" w:leader="dot" w:pos="8845"/>
        </w:tabs>
        <w:rPr>
          <w:rFonts w:hint="eastAsia"/>
        </w:rPr>
      </w:pPr>
      <w:r>
        <w:rPr>
          <w:rFonts w:hint="eastAsia"/>
        </w:rPr>
        <w:fldChar w:fldCharType="begin"/>
      </w:r>
      <w:r>
        <w:rPr>
          <w:rFonts w:hint="eastAsia"/>
        </w:rPr>
        <w:instrText xml:space="preserve"> HYPERLINK \l _Toc22900 </w:instrText>
      </w:r>
      <w:r>
        <w:rPr>
          <w:rFonts w:hint="eastAsia"/>
        </w:rPr>
        <w:fldChar w:fldCharType="separate"/>
      </w:r>
      <w:r>
        <w:rPr>
          <w:rFonts w:hint="eastAsia"/>
        </w:rPr>
        <w:t>1.1区域学校概况</w:t>
      </w:r>
      <w:r>
        <w:rPr>
          <w:rFonts w:hint="eastAsia"/>
        </w:rPr>
        <w:tab/>
      </w:r>
      <w:r>
        <w:rPr>
          <w:rFonts w:hint="eastAsia"/>
        </w:rPr>
        <w:fldChar w:fldCharType="begin"/>
      </w:r>
      <w:r>
        <w:rPr>
          <w:rFonts w:hint="eastAsia"/>
        </w:rPr>
        <w:instrText xml:space="preserve"> PAGEREF _Toc22900 \h </w:instrText>
      </w:r>
      <w:r>
        <w:rPr>
          <w:rFonts w:hint="eastAsia"/>
        </w:rPr>
        <w:fldChar w:fldCharType="separate"/>
      </w:r>
      <w:r>
        <w:rPr>
          <w:rFonts w:hint="eastAsia"/>
        </w:rPr>
        <w:t>1</w:t>
      </w:r>
      <w:r>
        <w:rPr>
          <w:rFonts w:hint="eastAsia"/>
        </w:rPr>
        <w:fldChar w:fldCharType="end"/>
      </w:r>
      <w:r>
        <w:rPr>
          <w:rFonts w:hint="eastAsia"/>
        </w:rPr>
        <w:fldChar w:fldCharType="end"/>
      </w:r>
    </w:p>
    <w:p w14:paraId="1C29883F">
      <w:pPr>
        <w:pStyle w:val="18"/>
        <w:tabs>
          <w:tab w:val="right" w:leader="dot" w:pos="8845"/>
        </w:tabs>
        <w:rPr>
          <w:rFonts w:hint="eastAsia"/>
        </w:rPr>
      </w:pPr>
      <w:r>
        <w:rPr>
          <w:rFonts w:hint="eastAsia"/>
        </w:rPr>
        <w:fldChar w:fldCharType="begin"/>
      </w:r>
      <w:r>
        <w:rPr>
          <w:rFonts w:hint="eastAsia"/>
        </w:rPr>
        <w:instrText xml:space="preserve"> HYPERLINK \l _Toc25539 </w:instrText>
      </w:r>
      <w:r>
        <w:rPr>
          <w:rFonts w:hint="eastAsia"/>
        </w:rPr>
        <w:fldChar w:fldCharType="separate"/>
      </w:r>
      <w:r>
        <w:rPr>
          <w:rFonts w:hint="eastAsia"/>
          <w:lang w:val="en-US" w:eastAsia="zh-CN"/>
        </w:rPr>
        <w:t>1</w:t>
      </w:r>
      <w:r>
        <w:rPr>
          <w:rFonts w:hint="eastAsia"/>
        </w:rPr>
        <w:t>.</w:t>
      </w:r>
      <w:r>
        <w:rPr>
          <w:rFonts w:hint="eastAsia"/>
          <w:lang w:val="en-US" w:eastAsia="zh-CN"/>
        </w:rPr>
        <w:t>2</w:t>
      </w:r>
      <w:r>
        <w:rPr>
          <w:rFonts w:hint="eastAsia"/>
        </w:rPr>
        <w:t>专业建设</w:t>
      </w:r>
      <w:r>
        <w:rPr>
          <w:rFonts w:hint="eastAsia"/>
        </w:rPr>
        <w:tab/>
      </w:r>
      <w:r>
        <w:rPr>
          <w:rFonts w:hint="eastAsia"/>
        </w:rPr>
        <w:fldChar w:fldCharType="begin"/>
      </w:r>
      <w:r>
        <w:rPr>
          <w:rFonts w:hint="eastAsia"/>
        </w:rPr>
        <w:instrText xml:space="preserve"> PAGEREF _Toc25539 \h </w:instrText>
      </w:r>
      <w:r>
        <w:rPr>
          <w:rFonts w:hint="eastAsia"/>
        </w:rPr>
        <w:fldChar w:fldCharType="separate"/>
      </w:r>
      <w:r>
        <w:rPr>
          <w:rFonts w:hint="eastAsia"/>
        </w:rPr>
        <w:t>2</w:t>
      </w:r>
      <w:r>
        <w:rPr>
          <w:rFonts w:hint="eastAsia"/>
        </w:rPr>
        <w:fldChar w:fldCharType="end"/>
      </w:r>
      <w:r>
        <w:rPr>
          <w:rFonts w:hint="eastAsia"/>
        </w:rPr>
        <w:fldChar w:fldCharType="end"/>
      </w:r>
    </w:p>
    <w:p w14:paraId="6F18640B">
      <w:pPr>
        <w:pStyle w:val="18"/>
        <w:tabs>
          <w:tab w:val="right" w:leader="dot" w:pos="8845"/>
        </w:tabs>
        <w:rPr>
          <w:rFonts w:hint="eastAsia"/>
        </w:rPr>
      </w:pPr>
      <w:r>
        <w:rPr>
          <w:rFonts w:hint="eastAsia"/>
        </w:rPr>
        <w:fldChar w:fldCharType="begin"/>
      </w:r>
      <w:r>
        <w:rPr>
          <w:rFonts w:hint="eastAsia"/>
        </w:rPr>
        <w:instrText xml:space="preserve"> HYPERLINK \l _Toc23637 </w:instrText>
      </w:r>
      <w:r>
        <w:rPr>
          <w:rFonts w:hint="eastAsia"/>
        </w:rPr>
        <w:fldChar w:fldCharType="separate"/>
      </w:r>
      <w:r>
        <w:rPr>
          <w:rFonts w:hint="eastAsia"/>
          <w:lang w:val="en-US" w:eastAsia="zh-CN"/>
        </w:rPr>
        <w:t>1.2.1专业设置情况</w:t>
      </w:r>
      <w:r>
        <w:rPr>
          <w:rFonts w:hint="eastAsia"/>
        </w:rPr>
        <w:tab/>
      </w:r>
      <w:r>
        <w:rPr>
          <w:rFonts w:hint="eastAsia"/>
        </w:rPr>
        <w:fldChar w:fldCharType="begin"/>
      </w:r>
      <w:r>
        <w:rPr>
          <w:rFonts w:hint="eastAsia"/>
        </w:rPr>
        <w:instrText xml:space="preserve"> PAGEREF _Toc23637 \h </w:instrText>
      </w:r>
      <w:r>
        <w:rPr>
          <w:rFonts w:hint="eastAsia"/>
        </w:rPr>
        <w:fldChar w:fldCharType="separate"/>
      </w:r>
      <w:r>
        <w:rPr>
          <w:rFonts w:hint="eastAsia"/>
        </w:rPr>
        <w:t>3</w:t>
      </w:r>
      <w:r>
        <w:rPr>
          <w:rFonts w:hint="eastAsia"/>
        </w:rPr>
        <w:fldChar w:fldCharType="end"/>
      </w:r>
      <w:r>
        <w:rPr>
          <w:rFonts w:hint="eastAsia"/>
        </w:rPr>
        <w:fldChar w:fldCharType="end"/>
      </w:r>
    </w:p>
    <w:p w14:paraId="213F3DED">
      <w:pPr>
        <w:pStyle w:val="18"/>
        <w:tabs>
          <w:tab w:val="right" w:leader="dot" w:pos="8845"/>
        </w:tabs>
        <w:rPr>
          <w:rFonts w:hint="eastAsia"/>
        </w:rPr>
      </w:pPr>
      <w:r>
        <w:rPr>
          <w:rFonts w:hint="eastAsia"/>
        </w:rPr>
        <w:fldChar w:fldCharType="begin"/>
      </w:r>
      <w:r>
        <w:rPr>
          <w:rFonts w:hint="eastAsia"/>
        </w:rPr>
        <w:instrText xml:space="preserve"> HYPERLINK \l _Toc29329 </w:instrText>
      </w:r>
      <w:r>
        <w:rPr>
          <w:rFonts w:hint="eastAsia"/>
        </w:rPr>
        <w:fldChar w:fldCharType="separate"/>
      </w:r>
      <w:r>
        <w:rPr>
          <w:rFonts w:hint="eastAsia"/>
          <w:lang w:val="en-US" w:eastAsia="zh-CN"/>
        </w:rPr>
        <w:t>1.2.2高水平专业（群）建设</w:t>
      </w:r>
      <w:r>
        <w:rPr>
          <w:rFonts w:hint="eastAsia"/>
        </w:rPr>
        <w:tab/>
      </w:r>
      <w:r>
        <w:rPr>
          <w:rFonts w:hint="eastAsia"/>
        </w:rPr>
        <w:fldChar w:fldCharType="begin"/>
      </w:r>
      <w:r>
        <w:rPr>
          <w:rFonts w:hint="eastAsia"/>
        </w:rPr>
        <w:instrText xml:space="preserve"> PAGEREF _Toc29329 \h </w:instrText>
      </w:r>
      <w:r>
        <w:rPr>
          <w:rFonts w:hint="eastAsia"/>
        </w:rPr>
        <w:fldChar w:fldCharType="separate"/>
      </w:r>
      <w:r>
        <w:rPr>
          <w:rFonts w:hint="eastAsia"/>
        </w:rPr>
        <w:t>3</w:t>
      </w:r>
      <w:r>
        <w:rPr>
          <w:rFonts w:hint="eastAsia"/>
        </w:rPr>
        <w:fldChar w:fldCharType="end"/>
      </w:r>
      <w:r>
        <w:rPr>
          <w:rFonts w:hint="eastAsia"/>
        </w:rPr>
        <w:fldChar w:fldCharType="end"/>
      </w:r>
    </w:p>
    <w:p w14:paraId="23BDF1DA">
      <w:pPr>
        <w:pStyle w:val="18"/>
        <w:tabs>
          <w:tab w:val="right" w:leader="dot" w:pos="8845"/>
        </w:tabs>
        <w:rPr>
          <w:rFonts w:hint="eastAsia"/>
        </w:rPr>
      </w:pPr>
      <w:r>
        <w:rPr>
          <w:rFonts w:hint="eastAsia"/>
        </w:rPr>
        <w:fldChar w:fldCharType="begin"/>
      </w:r>
      <w:r>
        <w:rPr>
          <w:rFonts w:hint="eastAsia"/>
        </w:rPr>
        <w:instrText xml:space="preserve"> HYPERLINK \l _Toc7348 </w:instrText>
      </w:r>
      <w:r>
        <w:rPr>
          <w:rFonts w:hint="eastAsia"/>
        </w:rPr>
        <w:fldChar w:fldCharType="separate"/>
      </w:r>
      <w:r>
        <w:rPr>
          <w:rFonts w:hint="eastAsia"/>
          <w:lang w:val="en-US" w:eastAsia="zh-CN"/>
        </w:rPr>
        <w:t>1.2.3专业动态调整与结构优化</w:t>
      </w:r>
      <w:r>
        <w:rPr>
          <w:rFonts w:hint="eastAsia"/>
        </w:rPr>
        <w:tab/>
      </w:r>
      <w:r>
        <w:rPr>
          <w:rFonts w:hint="eastAsia"/>
        </w:rPr>
        <w:fldChar w:fldCharType="begin"/>
      </w:r>
      <w:r>
        <w:rPr>
          <w:rFonts w:hint="eastAsia"/>
        </w:rPr>
        <w:instrText xml:space="preserve"> PAGEREF _Toc7348 \h </w:instrText>
      </w:r>
      <w:r>
        <w:rPr>
          <w:rFonts w:hint="eastAsia"/>
        </w:rPr>
        <w:fldChar w:fldCharType="separate"/>
      </w:r>
      <w:r>
        <w:rPr>
          <w:rFonts w:hint="eastAsia"/>
        </w:rPr>
        <w:t>4</w:t>
      </w:r>
      <w:r>
        <w:rPr>
          <w:rFonts w:hint="eastAsia"/>
        </w:rPr>
        <w:fldChar w:fldCharType="end"/>
      </w:r>
      <w:r>
        <w:rPr>
          <w:rFonts w:hint="eastAsia"/>
        </w:rPr>
        <w:fldChar w:fldCharType="end"/>
      </w:r>
    </w:p>
    <w:p w14:paraId="608B1171">
      <w:pPr>
        <w:pStyle w:val="18"/>
        <w:tabs>
          <w:tab w:val="right" w:leader="dot" w:pos="8845"/>
        </w:tabs>
        <w:rPr>
          <w:rFonts w:hint="eastAsia"/>
        </w:rPr>
      </w:pPr>
      <w:r>
        <w:rPr>
          <w:rFonts w:hint="eastAsia"/>
        </w:rPr>
        <w:fldChar w:fldCharType="begin"/>
      </w:r>
      <w:r>
        <w:rPr>
          <w:rFonts w:hint="eastAsia"/>
        </w:rPr>
        <w:instrText xml:space="preserve"> HYPERLINK \l _Toc20920 </w:instrText>
      </w:r>
      <w:r>
        <w:rPr>
          <w:rFonts w:hint="eastAsia"/>
        </w:rPr>
        <w:fldChar w:fldCharType="separate"/>
      </w:r>
      <w:r>
        <w:rPr>
          <w:rFonts w:hint="eastAsia"/>
          <w:lang w:val="en-US" w:eastAsia="zh-CN"/>
        </w:rPr>
        <w:t>1.2.4专业教学标准建设与评价</w:t>
      </w:r>
      <w:r>
        <w:rPr>
          <w:rFonts w:hint="eastAsia"/>
        </w:rPr>
        <w:tab/>
      </w:r>
      <w:r>
        <w:rPr>
          <w:rFonts w:hint="eastAsia"/>
        </w:rPr>
        <w:fldChar w:fldCharType="begin"/>
      </w:r>
      <w:r>
        <w:rPr>
          <w:rFonts w:hint="eastAsia"/>
        </w:rPr>
        <w:instrText xml:space="preserve"> PAGEREF _Toc20920 \h </w:instrText>
      </w:r>
      <w:r>
        <w:rPr>
          <w:rFonts w:hint="eastAsia"/>
        </w:rPr>
        <w:fldChar w:fldCharType="separate"/>
      </w:r>
      <w:r>
        <w:rPr>
          <w:rFonts w:hint="eastAsia"/>
        </w:rPr>
        <w:t>5</w:t>
      </w:r>
      <w:r>
        <w:rPr>
          <w:rFonts w:hint="eastAsia"/>
        </w:rPr>
        <w:fldChar w:fldCharType="end"/>
      </w:r>
      <w:r>
        <w:rPr>
          <w:rFonts w:hint="eastAsia"/>
        </w:rPr>
        <w:fldChar w:fldCharType="end"/>
      </w:r>
    </w:p>
    <w:p w14:paraId="7FACE4F6">
      <w:pPr>
        <w:pStyle w:val="18"/>
        <w:tabs>
          <w:tab w:val="right" w:leader="dot" w:pos="8845"/>
        </w:tabs>
        <w:rPr>
          <w:rFonts w:hint="eastAsia"/>
        </w:rPr>
      </w:pPr>
      <w:r>
        <w:rPr>
          <w:rFonts w:hint="eastAsia"/>
        </w:rPr>
        <w:fldChar w:fldCharType="begin"/>
      </w:r>
      <w:r>
        <w:rPr>
          <w:rFonts w:hint="eastAsia"/>
        </w:rPr>
        <w:instrText xml:space="preserve"> HYPERLINK \l _Toc27280 </w:instrText>
      </w:r>
      <w:r>
        <w:rPr>
          <w:rFonts w:hint="eastAsia"/>
        </w:rPr>
        <w:fldChar w:fldCharType="separate"/>
      </w:r>
      <w:r>
        <w:rPr>
          <w:rFonts w:hint="eastAsia"/>
          <w:lang w:val="en-US" w:eastAsia="zh-CN"/>
        </w:rPr>
        <w:t>1.2.5人才贯通培养</w:t>
      </w:r>
      <w:r>
        <w:rPr>
          <w:rFonts w:hint="eastAsia"/>
        </w:rPr>
        <w:tab/>
      </w:r>
      <w:r>
        <w:rPr>
          <w:rFonts w:hint="eastAsia"/>
        </w:rPr>
        <w:fldChar w:fldCharType="begin"/>
      </w:r>
      <w:r>
        <w:rPr>
          <w:rFonts w:hint="eastAsia"/>
        </w:rPr>
        <w:instrText xml:space="preserve"> PAGEREF _Toc27280 \h </w:instrText>
      </w:r>
      <w:r>
        <w:rPr>
          <w:rFonts w:hint="eastAsia"/>
        </w:rPr>
        <w:fldChar w:fldCharType="separate"/>
      </w:r>
      <w:r>
        <w:rPr>
          <w:rFonts w:hint="eastAsia"/>
        </w:rPr>
        <w:t>6</w:t>
      </w:r>
      <w:r>
        <w:rPr>
          <w:rFonts w:hint="eastAsia"/>
        </w:rPr>
        <w:fldChar w:fldCharType="end"/>
      </w:r>
      <w:r>
        <w:rPr>
          <w:rFonts w:hint="eastAsia"/>
        </w:rPr>
        <w:fldChar w:fldCharType="end"/>
      </w:r>
    </w:p>
    <w:p w14:paraId="3B07D60C">
      <w:pPr>
        <w:pStyle w:val="18"/>
        <w:tabs>
          <w:tab w:val="right" w:leader="dot" w:pos="8845"/>
        </w:tabs>
        <w:rPr>
          <w:rFonts w:hint="eastAsia"/>
        </w:rPr>
      </w:pPr>
      <w:r>
        <w:rPr>
          <w:rFonts w:hint="eastAsia"/>
        </w:rPr>
        <w:fldChar w:fldCharType="begin"/>
      </w:r>
      <w:r>
        <w:rPr>
          <w:rFonts w:hint="eastAsia"/>
        </w:rPr>
        <w:instrText xml:space="preserve"> HYPERLINK \l _Toc16847 </w:instrText>
      </w:r>
      <w:r>
        <w:rPr>
          <w:rFonts w:hint="eastAsia"/>
        </w:rPr>
        <w:fldChar w:fldCharType="separate"/>
      </w:r>
      <w:r>
        <w:rPr>
          <w:rFonts w:hint="eastAsia"/>
          <w:lang w:val="en-US" w:eastAsia="zh-CN"/>
        </w:rPr>
        <w:t>1.3学生规模</w:t>
      </w:r>
      <w:r>
        <w:rPr>
          <w:rFonts w:hint="eastAsia"/>
        </w:rPr>
        <w:tab/>
      </w:r>
      <w:r>
        <w:rPr>
          <w:rFonts w:hint="eastAsia"/>
        </w:rPr>
        <w:fldChar w:fldCharType="begin"/>
      </w:r>
      <w:r>
        <w:rPr>
          <w:rFonts w:hint="eastAsia"/>
        </w:rPr>
        <w:instrText xml:space="preserve"> PAGEREF _Toc16847 \h </w:instrText>
      </w:r>
      <w:r>
        <w:rPr>
          <w:rFonts w:hint="eastAsia"/>
        </w:rPr>
        <w:fldChar w:fldCharType="separate"/>
      </w:r>
      <w:r>
        <w:rPr>
          <w:rFonts w:hint="eastAsia"/>
        </w:rPr>
        <w:t>7</w:t>
      </w:r>
      <w:r>
        <w:rPr>
          <w:rFonts w:hint="eastAsia"/>
        </w:rPr>
        <w:fldChar w:fldCharType="end"/>
      </w:r>
      <w:r>
        <w:rPr>
          <w:rFonts w:hint="eastAsia"/>
        </w:rPr>
        <w:fldChar w:fldCharType="end"/>
      </w:r>
    </w:p>
    <w:p w14:paraId="6F63B1CC">
      <w:pPr>
        <w:pStyle w:val="18"/>
        <w:tabs>
          <w:tab w:val="right" w:leader="dot" w:pos="8845"/>
        </w:tabs>
        <w:rPr>
          <w:rFonts w:hint="eastAsia"/>
        </w:rPr>
      </w:pPr>
      <w:r>
        <w:rPr>
          <w:rFonts w:hint="eastAsia"/>
        </w:rPr>
        <w:fldChar w:fldCharType="begin"/>
      </w:r>
      <w:r>
        <w:rPr>
          <w:rFonts w:hint="eastAsia"/>
        </w:rPr>
        <w:instrText xml:space="preserve"> HYPERLINK \l _Toc14963 </w:instrText>
      </w:r>
      <w:r>
        <w:rPr>
          <w:rFonts w:hint="eastAsia"/>
        </w:rPr>
        <w:fldChar w:fldCharType="separate"/>
      </w:r>
      <w:r>
        <w:rPr>
          <w:rFonts w:hint="eastAsia"/>
        </w:rPr>
        <w:t>1.4师资队伍</w:t>
      </w:r>
      <w:r>
        <w:rPr>
          <w:rFonts w:hint="eastAsia"/>
        </w:rPr>
        <w:tab/>
      </w:r>
      <w:r>
        <w:rPr>
          <w:rFonts w:hint="eastAsia"/>
        </w:rPr>
        <w:fldChar w:fldCharType="begin"/>
      </w:r>
      <w:r>
        <w:rPr>
          <w:rFonts w:hint="eastAsia"/>
        </w:rPr>
        <w:instrText xml:space="preserve"> PAGEREF _Toc14963 \h </w:instrText>
      </w:r>
      <w:r>
        <w:rPr>
          <w:rFonts w:hint="eastAsia"/>
        </w:rPr>
        <w:fldChar w:fldCharType="separate"/>
      </w:r>
      <w:r>
        <w:rPr>
          <w:rFonts w:hint="eastAsia"/>
        </w:rPr>
        <w:t>8</w:t>
      </w:r>
      <w:r>
        <w:rPr>
          <w:rFonts w:hint="eastAsia"/>
        </w:rPr>
        <w:fldChar w:fldCharType="end"/>
      </w:r>
      <w:r>
        <w:rPr>
          <w:rFonts w:hint="eastAsia"/>
        </w:rPr>
        <w:fldChar w:fldCharType="end"/>
      </w:r>
    </w:p>
    <w:p w14:paraId="298EE08C">
      <w:pPr>
        <w:pStyle w:val="18"/>
        <w:tabs>
          <w:tab w:val="right" w:leader="dot" w:pos="8845"/>
        </w:tabs>
        <w:rPr>
          <w:rFonts w:hint="eastAsia"/>
        </w:rPr>
      </w:pPr>
      <w:r>
        <w:rPr>
          <w:rFonts w:hint="eastAsia"/>
        </w:rPr>
        <w:fldChar w:fldCharType="begin"/>
      </w:r>
      <w:r>
        <w:rPr>
          <w:rFonts w:hint="eastAsia"/>
        </w:rPr>
        <w:instrText xml:space="preserve"> HYPERLINK \l _Toc27221 </w:instrText>
      </w:r>
      <w:r>
        <w:rPr>
          <w:rFonts w:hint="eastAsia"/>
        </w:rPr>
        <w:fldChar w:fldCharType="separate"/>
      </w:r>
      <w:r>
        <w:rPr>
          <w:rFonts w:hint="eastAsia"/>
        </w:rPr>
        <w:t>1.</w:t>
      </w:r>
      <w:r>
        <w:rPr>
          <w:rFonts w:hint="eastAsia"/>
          <w:lang w:val="en-US" w:eastAsia="zh-CN"/>
        </w:rPr>
        <w:t>5</w:t>
      </w:r>
      <w:r>
        <w:rPr>
          <w:rFonts w:hint="eastAsia"/>
        </w:rPr>
        <w:t>办学条件</w:t>
      </w:r>
      <w:r>
        <w:rPr>
          <w:rFonts w:hint="eastAsia"/>
        </w:rPr>
        <w:tab/>
      </w:r>
      <w:r>
        <w:rPr>
          <w:rFonts w:hint="eastAsia"/>
        </w:rPr>
        <w:fldChar w:fldCharType="begin"/>
      </w:r>
      <w:r>
        <w:rPr>
          <w:rFonts w:hint="eastAsia"/>
        </w:rPr>
        <w:instrText xml:space="preserve"> PAGEREF _Toc27221 \h </w:instrText>
      </w:r>
      <w:r>
        <w:rPr>
          <w:rFonts w:hint="eastAsia"/>
        </w:rPr>
        <w:fldChar w:fldCharType="separate"/>
      </w:r>
      <w:r>
        <w:rPr>
          <w:rFonts w:hint="eastAsia"/>
        </w:rPr>
        <w:t>9</w:t>
      </w:r>
      <w:r>
        <w:rPr>
          <w:rFonts w:hint="eastAsia"/>
        </w:rPr>
        <w:fldChar w:fldCharType="end"/>
      </w:r>
      <w:r>
        <w:rPr>
          <w:rFonts w:hint="eastAsia"/>
        </w:rPr>
        <w:fldChar w:fldCharType="end"/>
      </w:r>
    </w:p>
    <w:p w14:paraId="1C3D5D08">
      <w:pPr>
        <w:pStyle w:val="18"/>
        <w:tabs>
          <w:tab w:val="right" w:leader="dot" w:pos="8845"/>
        </w:tabs>
        <w:rPr>
          <w:rFonts w:hint="eastAsia"/>
        </w:rPr>
      </w:pPr>
      <w:r>
        <w:rPr>
          <w:rFonts w:hint="eastAsia"/>
        </w:rPr>
        <w:fldChar w:fldCharType="begin"/>
      </w:r>
      <w:r>
        <w:rPr>
          <w:rFonts w:hint="eastAsia"/>
        </w:rPr>
        <w:instrText xml:space="preserve"> HYPERLINK \l _Toc3699 </w:instrText>
      </w:r>
      <w:r>
        <w:rPr>
          <w:rFonts w:hint="eastAsia"/>
        </w:rPr>
        <w:fldChar w:fldCharType="separate"/>
      </w:r>
      <w:r>
        <w:rPr>
          <w:rFonts w:hint="eastAsia"/>
        </w:rPr>
        <w:t>2.人才培养</w:t>
      </w:r>
      <w:r>
        <w:rPr>
          <w:rFonts w:hint="eastAsia"/>
        </w:rPr>
        <w:tab/>
      </w:r>
      <w:r>
        <w:rPr>
          <w:rFonts w:hint="eastAsia"/>
        </w:rPr>
        <w:fldChar w:fldCharType="begin"/>
      </w:r>
      <w:r>
        <w:rPr>
          <w:rFonts w:hint="eastAsia"/>
        </w:rPr>
        <w:instrText xml:space="preserve"> PAGEREF _Toc3699 \h </w:instrText>
      </w:r>
      <w:r>
        <w:rPr>
          <w:rFonts w:hint="eastAsia"/>
        </w:rPr>
        <w:fldChar w:fldCharType="separate"/>
      </w:r>
      <w:r>
        <w:rPr>
          <w:rFonts w:hint="eastAsia"/>
        </w:rPr>
        <w:t>9</w:t>
      </w:r>
      <w:r>
        <w:rPr>
          <w:rFonts w:hint="eastAsia"/>
        </w:rPr>
        <w:fldChar w:fldCharType="end"/>
      </w:r>
      <w:r>
        <w:rPr>
          <w:rFonts w:hint="eastAsia"/>
        </w:rPr>
        <w:fldChar w:fldCharType="end"/>
      </w:r>
    </w:p>
    <w:p w14:paraId="54CECDB3">
      <w:pPr>
        <w:pStyle w:val="18"/>
        <w:tabs>
          <w:tab w:val="right" w:leader="dot" w:pos="8845"/>
        </w:tabs>
        <w:rPr>
          <w:rFonts w:hint="eastAsia"/>
        </w:rPr>
      </w:pPr>
      <w:r>
        <w:rPr>
          <w:rFonts w:hint="eastAsia"/>
        </w:rPr>
        <w:fldChar w:fldCharType="begin"/>
      </w:r>
      <w:r>
        <w:rPr>
          <w:rFonts w:hint="eastAsia"/>
        </w:rPr>
        <w:instrText xml:space="preserve"> HYPERLINK \l _Toc17211 </w:instrText>
      </w:r>
      <w:r>
        <w:rPr>
          <w:rFonts w:hint="eastAsia"/>
        </w:rPr>
        <w:fldChar w:fldCharType="separate"/>
      </w:r>
      <w:r>
        <w:rPr>
          <w:rFonts w:hint="eastAsia"/>
          <w:lang w:val="en-US" w:eastAsia="zh-CN"/>
        </w:rPr>
        <w:t>2.1立德树人</w:t>
      </w:r>
      <w:r>
        <w:rPr>
          <w:rFonts w:hint="eastAsia"/>
        </w:rPr>
        <w:tab/>
      </w:r>
      <w:r>
        <w:rPr>
          <w:rFonts w:hint="eastAsia"/>
        </w:rPr>
        <w:fldChar w:fldCharType="begin"/>
      </w:r>
      <w:r>
        <w:rPr>
          <w:rFonts w:hint="eastAsia"/>
        </w:rPr>
        <w:instrText xml:space="preserve"> PAGEREF _Toc17211 \h </w:instrText>
      </w:r>
      <w:r>
        <w:rPr>
          <w:rFonts w:hint="eastAsia"/>
        </w:rPr>
        <w:fldChar w:fldCharType="separate"/>
      </w:r>
      <w:r>
        <w:rPr>
          <w:rFonts w:hint="eastAsia"/>
        </w:rPr>
        <w:t>9</w:t>
      </w:r>
      <w:r>
        <w:rPr>
          <w:rFonts w:hint="eastAsia"/>
        </w:rPr>
        <w:fldChar w:fldCharType="end"/>
      </w:r>
      <w:r>
        <w:rPr>
          <w:rFonts w:hint="eastAsia"/>
        </w:rPr>
        <w:fldChar w:fldCharType="end"/>
      </w:r>
    </w:p>
    <w:p w14:paraId="721A162F">
      <w:pPr>
        <w:pStyle w:val="18"/>
        <w:tabs>
          <w:tab w:val="right" w:leader="dot" w:pos="8845"/>
        </w:tabs>
        <w:rPr>
          <w:rFonts w:hint="eastAsia"/>
        </w:rPr>
      </w:pPr>
      <w:r>
        <w:rPr>
          <w:rFonts w:hint="eastAsia"/>
        </w:rPr>
        <w:fldChar w:fldCharType="begin"/>
      </w:r>
      <w:r>
        <w:rPr>
          <w:rFonts w:hint="eastAsia"/>
        </w:rPr>
        <w:instrText xml:space="preserve"> HYPERLINK \l _Toc19498 </w:instrText>
      </w:r>
      <w:r>
        <w:rPr>
          <w:rFonts w:hint="eastAsia"/>
        </w:rPr>
        <w:fldChar w:fldCharType="separate"/>
      </w:r>
      <w:r>
        <w:rPr>
          <w:rFonts w:hint="eastAsia"/>
          <w:lang w:val="en-US" w:eastAsia="zh-CN"/>
        </w:rPr>
        <w:t>2.1.1落实立德树人根本任务的具体举措</w:t>
      </w:r>
      <w:r>
        <w:rPr>
          <w:rFonts w:hint="eastAsia"/>
        </w:rPr>
        <w:tab/>
      </w:r>
      <w:r>
        <w:rPr>
          <w:rFonts w:hint="eastAsia"/>
        </w:rPr>
        <w:fldChar w:fldCharType="begin"/>
      </w:r>
      <w:r>
        <w:rPr>
          <w:rFonts w:hint="eastAsia"/>
        </w:rPr>
        <w:instrText xml:space="preserve"> PAGEREF _Toc19498 \h </w:instrText>
      </w:r>
      <w:r>
        <w:rPr>
          <w:rFonts w:hint="eastAsia"/>
        </w:rPr>
        <w:fldChar w:fldCharType="separate"/>
      </w:r>
      <w:r>
        <w:rPr>
          <w:rFonts w:hint="eastAsia"/>
        </w:rPr>
        <w:t>9</w:t>
      </w:r>
      <w:r>
        <w:rPr>
          <w:rFonts w:hint="eastAsia"/>
        </w:rPr>
        <w:fldChar w:fldCharType="end"/>
      </w:r>
      <w:r>
        <w:rPr>
          <w:rFonts w:hint="eastAsia"/>
        </w:rPr>
        <w:fldChar w:fldCharType="end"/>
      </w:r>
    </w:p>
    <w:p w14:paraId="085230B0">
      <w:pPr>
        <w:pStyle w:val="18"/>
        <w:tabs>
          <w:tab w:val="right" w:leader="dot" w:pos="8845"/>
        </w:tabs>
        <w:rPr>
          <w:rFonts w:hint="eastAsia"/>
        </w:rPr>
      </w:pPr>
      <w:r>
        <w:rPr>
          <w:rFonts w:hint="eastAsia"/>
        </w:rPr>
        <w:fldChar w:fldCharType="begin"/>
      </w:r>
      <w:r>
        <w:rPr>
          <w:rFonts w:hint="eastAsia"/>
        </w:rPr>
        <w:instrText xml:space="preserve"> HYPERLINK \l _Toc23417 </w:instrText>
      </w:r>
      <w:r>
        <w:rPr>
          <w:rFonts w:hint="eastAsia"/>
        </w:rPr>
        <w:fldChar w:fldCharType="separate"/>
      </w:r>
      <w:r>
        <w:rPr>
          <w:rFonts w:hint="eastAsia"/>
          <w:lang w:val="en-US" w:eastAsia="zh-CN"/>
        </w:rPr>
        <w:t>2.1.2思想政治工作的经验做法及特色亮点</w:t>
      </w:r>
      <w:r>
        <w:rPr>
          <w:rFonts w:hint="eastAsia"/>
        </w:rPr>
        <w:tab/>
      </w:r>
      <w:r>
        <w:rPr>
          <w:rFonts w:hint="eastAsia"/>
        </w:rPr>
        <w:fldChar w:fldCharType="begin"/>
      </w:r>
      <w:r>
        <w:rPr>
          <w:rFonts w:hint="eastAsia"/>
        </w:rPr>
        <w:instrText xml:space="preserve"> PAGEREF _Toc23417 \h </w:instrText>
      </w:r>
      <w:r>
        <w:rPr>
          <w:rFonts w:hint="eastAsia"/>
        </w:rPr>
        <w:fldChar w:fldCharType="separate"/>
      </w:r>
      <w:r>
        <w:rPr>
          <w:rFonts w:hint="eastAsia"/>
        </w:rPr>
        <w:t>10</w:t>
      </w:r>
      <w:r>
        <w:rPr>
          <w:rFonts w:hint="eastAsia"/>
        </w:rPr>
        <w:fldChar w:fldCharType="end"/>
      </w:r>
      <w:r>
        <w:rPr>
          <w:rFonts w:hint="eastAsia"/>
        </w:rPr>
        <w:fldChar w:fldCharType="end"/>
      </w:r>
    </w:p>
    <w:p w14:paraId="184D9621">
      <w:pPr>
        <w:pStyle w:val="18"/>
        <w:tabs>
          <w:tab w:val="right" w:leader="dot" w:pos="8845"/>
        </w:tabs>
        <w:rPr>
          <w:rFonts w:hint="eastAsia"/>
        </w:rPr>
      </w:pPr>
      <w:r>
        <w:rPr>
          <w:rFonts w:hint="eastAsia"/>
        </w:rPr>
        <w:fldChar w:fldCharType="begin"/>
      </w:r>
      <w:r>
        <w:rPr>
          <w:rFonts w:hint="eastAsia"/>
        </w:rPr>
        <w:instrText xml:space="preserve"> HYPERLINK \l _Toc3948 </w:instrText>
      </w:r>
      <w:r>
        <w:rPr>
          <w:rFonts w:hint="eastAsia"/>
        </w:rPr>
        <w:fldChar w:fldCharType="separate"/>
      </w:r>
      <w:r>
        <w:rPr>
          <w:rFonts w:hint="eastAsia"/>
          <w:lang w:val="en-US" w:eastAsia="zh-CN"/>
        </w:rPr>
        <w:t>2.1.3思想政治理论课开设及教改情况</w:t>
      </w:r>
      <w:r>
        <w:rPr>
          <w:rFonts w:hint="eastAsia"/>
        </w:rPr>
        <w:tab/>
      </w:r>
      <w:r>
        <w:rPr>
          <w:rFonts w:hint="eastAsia"/>
        </w:rPr>
        <w:fldChar w:fldCharType="begin"/>
      </w:r>
      <w:r>
        <w:rPr>
          <w:rFonts w:hint="eastAsia"/>
        </w:rPr>
        <w:instrText xml:space="preserve"> PAGEREF _Toc3948 \h </w:instrText>
      </w:r>
      <w:r>
        <w:rPr>
          <w:rFonts w:hint="eastAsia"/>
        </w:rPr>
        <w:fldChar w:fldCharType="separate"/>
      </w:r>
      <w:r>
        <w:rPr>
          <w:rFonts w:hint="eastAsia"/>
        </w:rPr>
        <w:t>10</w:t>
      </w:r>
      <w:r>
        <w:rPr>
          <w:rFonts w:hint="eastAsia"/>
        </w:rPr>
        <w:fldChar w:fldCharType="end"/>
      </w:r>
      <w:r>
        <w:rPr>
          <w:rFonts w:hint="eastAsia"/>
        </w:rPr>
        <w:fldChar w:fldCharType="end"/>
      </w:r>
    </w:p>
    <w:p w14:paraId="1CD471A7">
      <w:pPr>
        <w:pStyle w:val="18"/>
        <w:tabs>
          <w:tab w:val="right" w:leader="dot" w:pos="8845"/>
        </w:tabs>
        <w:rPr>
          <w:rFonts w:hint="eastAsia"/>
        </w:rPr>
      </w:pPr>
      <w:r>
        <w:rPr>
          <w:rFonts w:hint="eastAsia"/>
        </w:rPr>
        <w:fldChar w:fldCharType="begin"/>
      </w:r>
      <w:r>
        <w:rPr>
          <w:rFonts w:hint="eastAsia"/>
        </w:rPr>
        <w:instrText xml:space="preserve"> HYPERLINK \l _Toc28000 </w:instrText>
      </w:r>
      <w:r>
        <w:rPr>
          <w:rFonts w:hint="eastAsia"/>
        </w:rPr>
        <w:fldChar w:fldCharType="separate"/>
      </w:r>
      <w:r>
        <w:rPr>
          <w:rFonts w:hint="eastAsia"/>
          <w:lang w:val="en-US" w:eastAsia="zh-CN"/>
        </w:rPr>
        <w:t>2.1.4思政课师资队伍建设</w:t>
      </w:r>
      <w:r>
        <w:rPr>
          <w:rFonts w:hint="eastAsia"/>
        </w:rPr>
        <w:tab/>
      </w:r>
      <w:r>
        <w:rPr>
          <w:rFonts w:hint="eastAsia"/>
        </w:rPr>
        <w:fldChar w:fldCharType="begin"/>
      </w:r>
      <w:r>
        <w:rPr>
          <w:rFonts w:hint="eastAsia"/>
        </w:rPr>
        <w:instrText xml:space="preserve"> PAGEREF _Toc28000 \h </w:instrText>
      </w:r>
      <w:r>
        <w:rPr>
          <w:rFonts w:hint="eastAsia"/>
        </w:rPr>
        <w:fldChar w:fldCharType="separate"/>
      </w:r>
      <w:r>
        <w:rPr>
          <w:rFonts w:hint="eastAsia"/>
        </w:rPr>
        <w:t>11</w:t>
      </w:r>
      <w:r>
        <w:rPr>
          <w:rFonts w:hint="eastAsia"/>
        </w:rPr>
        <w:fldChar w:fldCharType="end"/>
      </w:r>
      <w:r>
        <w:rPr>
          <w:rFonts w:hint="eastAsia"/>
        </w:rPr>
        <w:fldChar w:fldCharType="end"/>
      </w:r>
    </w:p>
    <w:p w14:paraId="040DAA33">
      <w:pPr>
        <w:pStyle w:val="18"/>
        <w:tabs>
          <w:tab w:val="right" w:leader="dot" w:pos="8845"/>
        </w:tabs>
        <w:rPr>
          <w:rFonts w:hint="eastAsia"/>
        </w:rPr>
      </w:pPr>
      <w:r>
        <w:rPr>
          <w:rFonts w:hint="eastAsia"/>
        </w:rPr>
        <w:fldChar w:fldCharType="begin"/>
      </w:r>
      <w:r>
        <w:rPr>
          <w:rFonts w:hint="eastAsia"/>
        </w:rPr>
        <w:instrText xml:space="preserve"> HYPERLINK \l _Toc18381 </w:instrText>
      </w:r>
      <w:r>
        <w:rPr>
          <w:rFonts w:hint="eastAsia"/>
        </w:rPr>
        <w:fldChar w:fldCharType="separate"/>
      </w:r>
      <w:r>
        <w:rPr>
          <w:rFonts w:hint="eastAsia"/>
          <w:lang w:val="en-US" w:eastAsia="zh-CN"/>
        </w:rPr>
        <w:t>2.1.5课程思政示范课建设</w:t>
      </w:r>
      <w:r>
        <w:rPr>
          <w:rFonts w:hint="eastAsia"/>
        </w:rPr>
        <w:tab/>
      </w:r>
      <w:r>
        <w:rPr>
          <w:rFonts w:hint="eastAsia"/>
        </w:rPr>
        <w:fldChar w:fldCharType="begin"/>
      </w:r>
      <w:r>
        <w:rPr>
          <w:rFonts w:hint="eastAsia"/>
        </w:rPr>
        <w:instrText xml:space="preserve"> PAGEREF _Toc18381 \h </w:instrText>
      </w:r>
      <w:r>
        <w:rPr>
          <w:rFonts w:hint="eastAsia"/>
        </w:rPr>
        <w:fldChar w:fldCharType="separate"/>
      </w:r>
      <w:r>
        <w:rPr>
          <w:rFonts w:hint="eastAsia"/>
        </w:rPr>
        <w:t>11</w:t>
      </w:r>
      <w:r>
        <w:rPr>
          <w:rFonts w:hint="eastAsia"/>
        </w:rPr>
        <w:fldChar w:fldCharType="end"/>
      </w:r>
      <w:r>
        <w:rPr>
          <w:rFonts w:hint="eastAsia"/>
        </w:rPr>
        <w:fldChar w:fldCharType="end"/>
      </w:r>
    </w:p>
    <w:p w14:paraId="71D51195">
      <w:pPr>
        <w:pStyle w:val="18"/>
        <w:tabs>
          <w:tab w:val="right" w:leader="dot" w:pos="8845"/>
        </w:tabs>
        <w:rPr>
          <w:rFonts w:hint="eastAsia"/>
        </w:rPr>
      </w:pPr>
      <w:r>
        <w:rPr>
          <w:rFonts w:hint="eastAsia"/>
        </w:rPr>
        <w:fldChar w:fldCharType="begin"/>
      </w:r>
      <w:r>
        <w:rPr>
          <w:rFonts w:hint="eastAsia"/>
        </w:rPr>
        <w:instrText xml:space="preserve"> HYPERLINK \l _Toc30359 </w:instrText>
      </w:r>
      <w:r>
        <w:rPr>
          <w:rFonts w:hint="eastAsia"/>
        </w:rPr>
        <w:fldChar w:fldCharType="separate"/>
      </w:r>
      <w:r>
        <w:rPr>
          <w:rFonts w:hint="eastAsia"/>
          <w:lang w:val="en-US" w:eastAsia="zh-CN"/>
        </w:rPr>
        <w:t>2.1.6将“四史”融入思政课教学的创新举措</w:t>
      </w:r>
      <w:r>
        <w:rPr>
          <w:rFonts w:hint="eastAsia"/>
        </w:rPr>
        <w:tab/>
      </w:r>
      <w:r>
        <w:rPr>
          <w:rFonts w:hint="eastAsia"/>
        </w:rPr>
        <w:fldChar w:fldCharType="begin"/>
      </w:r>
      <w:r>
        <w:rPr>
          <w:rFonts w:hint="eastAsia"/>
        </w:rPr>
        <w:instrText xml:space="preserve"> PAGEREF _Toc30359 \h </w:instrText>
      </w:r>
      <w:r>
        <w:rPr>
          <w:rFonts w:hint="eastAsia"/>
        </w:rPr>
        <w:fldChar w:fldCharType="separate"/>
      </w:r>
      <w:r>
        <w:rPr>
          <w:rFonts w:hint="eastAsia"/>
        </w:rPr>
        <w:t>12</w:t>
      </w:r>
      <w:r>
        <w:rPr>
          <w:rFonts w:hint="eastAsia"/>
        </w:rPr>
        <w:fldChar w:fldCharType="end"/>
      </w:r>
      <w:r>
        <w:rPr>
          <w:rFonts w:hint="eastAsia"/>
        </w:rPr>
        <w:fldChar w:fldCharType="end"/>
      </w:r>
    </w:p>
    <w:p w14:paraId="75F355F9">
      <w:pPr>
        <w:pStyle w:val="18"/>
        <w:tabs>
          <w:tab w:val="right" w:leader="dot" w:pos="8845"/>
        </w:tabs>
        <w:rPr>
          <w:rFonts w:hint="eastAsia"/>
        </w:rPr>
      </w:pPr>
      <w:r>
        <w:rPr>
          <w:rFonts w:hint="eastAsia"/>
        </w:rPr>
        <w:fldChar w:fldCharType="begin"/>
      </w:r>
      <w:r>
        <w:rPr>
          <w:rFonts w:hint="eastAsia"/>
        </w:rPr>
        <w:instrText xml:space="preserve"> HYPERLINK \l _Toc7988 </w:instrText>
      </w:r>
      <w:r>
        <w:rPr>
          <w:rFonts w:hint="eastAsia"/>
        </w:rPr>
        <w:fldChar w:fldCharType="separate"/>
      </w:r>
      <w:r>
        <w:rPr>
          <w:rFonts w:hint="eastAsia"/>
          <w:lang w:val="en-US" w:eastAsia="zh-CN"/>
        </w:rPr>
        <w:t>2.1.7“三全”育人</w:t>
      </w:r>
      <w:r>
        <w:rPr>
          <w:rFonts w:hint="eastAsia"/>
        </w:rPr>
        <w:tab/>
      </w:r>
      <w:r>
        <w:rPr>
          <w:rFonts w:hint="eastAsia"/>
        </w:rPr>
        <w:fldChar w:fldCharType="begin"/>
      </w:r>
      <w:r>
        <w:rPr>
          <w:rFonts w:hint="eastAsia"/>
        </w:rPr>
        <w:instrText xml:space="preserve"> PAGEREF _Toc7988 \h </w:instrText>
      </w:r>
      <w:r>
        <w:rPr>
          <w:rFonts w:hint="eastAsia"/>
        </w:rPr>
        <w:fldChar w:fldCharType="separate"/>
      </w:r>
      <w:r>
        <w:rPr>
          <w:rFonts w:hint="eastAsia"/>
        </w:rPr>
        <w:t>12</w:t>
      </w:r>
      <w:r>
        <w:rPr>
          <w:rFonts w:hint="eastAsia"/>
        </w:rPr>
        <w:fldChar w:fldCharType="end"/>
      </w:r>
      <w:r>
        <w:rPr>
          <w:rFonts w:hint="eastAsia"/>
        </w:rPr>
        <w:fldChar w:fldCharType="end"/>
      </w:r>
    </w:p>
    <w:p w14:paraId="351EC9D8">
      <w:pPr>
        <w:pStyle w:val="18"/>
        <w:tabs>
          <w:tab w:val="right" w:leader="dot" w:pos="8845"/>
        </w:tabs>
        <w:rPr>
          <w:rFonts w:hint="eastAsia"/>
        </w:rPr>
      </w:pPr>
      <w:r>
        <w:rPr>
          <w:rFonts w:hint="eastAsia"/>
        </w:rPr>
        <w:fldChar w:fldCharType="begin"/>
      </w:r>
      <w:r>
        <w:rPr>
          <w:rFonts w:hint="eastAsia"/>
        </w:rPr>
        <w:instrText xml:space="preserve"> HYPERLINK \l _Toc30945 </w:instrText>
      </w:r>
      <w:r>
        <w:rPr>
          <w:rFonts w:hint="eastAsia"/>
        </w:rPr>
        <w:fldChar w:fldCharType="separate"/>
      </w:r>
      <w:r>
        <w:rPr>
          <w:rFonts w:hint="eastAsia"/>
          <w:lang w:val="en-US" w:eastAsia="zh-CN"/>
        </w:rPr>
        <w:t>2.1.8“大思政课”建设</w:t>
      </w:r>
      <w:r>
        <w:rPr>
          <w:rFonts w:hint="eastAsia"/>
        </w:rPr>
        <w:tab/>
      </w:r>
      <w:r>
        <w:rPr>
          <w:rFonts w:hint="eastAsia"/>
        </w:rPr>
        <w:fldChar w:fldCharType="begin"/>
      </w:r>
      <w:r>
        <w:rPr>
          <w:rFonts w:hint="eastAsia"/>
        </w:rPr>
        <w:instrText xml:space="preserve"> PAGEREF _Toc30945 \h </w:instrText>
      </w:r>
      <w:r>
        <w:rPr>
          <w:rFonts w:hint="eastAsia"/>
        </w:rPr>
        <w:fldChar w:fldCharType="separate"/>
      </w:r>
      <w:r>
        <w:rPr>
          <w:rFonts w:hint="eastAsia"/>
        </w:rPr>
        <w:t>13</w:t>
      </w:r>
      <w:r>
        <w:rPr>
          <w:rFonts w:hint="eastAsia"/>
        </w:rPr>
        <w:fldChar w:fldCharType="end"/>
      </w:r>
      <w:r>
        <w:rPr>
          <w:rFonts w:hint="eastAsia"/>
        </w:rPr>
        <w:fldChar w:fldCharType="end"/>
      </w:r>
    </w:p>
    <w:p w14:paraId="26153C78">
      <w:pPr>
        <w:pStyle w:val="18"/>
        <w:tabs>
          <w:tab w:val="right" w:leader="dot" w:pos="8845"/>
        </w:tabs>
        <w:rPr>
          <w:rFonts w:hint="eastAsia"/>
        </w:rPr>
      </w:pPr>
      <w:r>
        <w:rPr>
          <w:rFonts w:hint="eastAsia"/>
        </w:rPr>
        <w:fldChar w:fldCharType="begin"/>
      </w:r>
      <w:r>
        <w:rPr>
          <w:rFonts w:hint="eastAsia"/>
        </w:rPr>
        <w:instrText xml:space="preserve"> HYPERLINK \l _Toc23041 </w:instrText>
      </w:r>
      <w:r>
        <w:rPr>
          <w:rFonts w:hint="eastAsia"/>
        </w:rPr>
        <w:fldChar w:fldCharType="separate"/>
      </w:r>
      <w:r>
        <w:rPr>
          <w:rFonts w:hint="eastAsia"/>
          <w:lang w:val="en-US" w:eastAsia="zh-CN"/>
        </w:rPr>
        <w:t>2.2课程建设</w:t>
      </w:r>
      <w:r>
        <w:rPr>
          <w:rFonts w:hint="eastAsia"/>
        </w:rPr>
        <w:tab/>
      </w:r>
      <w:r>
        <w:rPr>
          <w:rFonts w:hint="eastAsia"/>
        </w:rPr>
        <w:fldChar w:fldCharType="begin"/>
      </w:r>
      <w:r>
        <w:rPr>
          <w:rFonts w:hint="eastAsia"/>
        </w:rPr>
        <w:instrText xml:space="preserve"> PAGEREF _Toc23041 \h </w:instrText>
      </w:r>
      <w:r>
        <w:rPr>
          <w:rFonts w:hint="eastAsia"/>
        </w:rPr>
        <w:fldChar w:fldCharType="separate"/>
      </w:r>
      <w:r>
        <w:rPr>
          <w:rFonts w:hint="eastAsia"/>
        </w:rPr>
        <w:t>18</w:t>
      </w:r>
      <w:r>
        <w:rPr>
          <w:rFonts w:hint="eastAsia"/>
        </w:rPr>
        <w:fldChar w:fldCharType="end"/>
      </w:r>
      <w:r>
        <w:rPr>
          <w:rFonts w:hint="eastAsia"/>
        </w:rPr>
        <w:fldChar w:fldCharType="end"/>
      </w:r>
    </w:p>
    <w:p w14:paraId="1232CCD5">
      <w:pPr>
        <w:pStyle w:val="18"/>
        <w:tabs>
          <w:tab w:val="right" w:leader="dot" w:pos="8845"/>
        </w:tabs>
        <w:rPr>
          <w:rFonts w:hint="eastAsia"/>
        </w:rPr>
      </w:pPr>
      <w:r>
        <w:rPr>
          <w:rFonts w:hint="eastAsia"/>
        </w:rPr>
        <w:fldChar w:fldCharType="begin"/>
      </w:r>
      <w:r>
        <w:rPr>
          <w:rFonts w:hint="eastAsia"/>
        </w:rPr>
        <w:instrText xml:space="preserve"> HYPERLINK \l _Toc29207 </w:instrText>
      </w:r>
      <w:r>
        <w:rPr>
          <w:rFonts w:hint="eastAsia"/>
        </w:rPr>
        <w:fldChar w:fldCharType="separate"/>
      </w:r>
      <w:r>
        <w:rPr>
          <w:rFonts w:hint="eastAsia"/>
          <w:lang w:val="en-US" w:eastAsia="zh-CN"/>
        </w:rPr>
        <w:t>2.2.1优化课程体系</w:t>
      </w:r>
      <w:r>
        <w:rPr>
          <w:rFonts w:hint="eastAsia"/>
        </w:rPr>
        <w:tab/>
      </w:r>
      <w:r>
        <w:rPr>
          <w:rFonts w:hint="eastAsia"/>
        </w:rPr>
        <w:fldChar w:fldCharType="begin"/>
      </w:r>
      <w:r>
        <w:rPr>
          <w:rFonts w:hint="eastAsia"/>
        </w:rPr>
        <w:instrText xml:space="preserve"> PAGEREF _Toc29207 \h </w:instrText>
      </w:r>
      <w:r>
        <w:rPr>
          <w:rFonts w:hint="eastAsia"/>
        </w:rPr>
        <w:fldChar w:fldCharType="separate"/>
      </w:r>
      <w:r>
        <w:rPr>
          <w:rFonts w:hint="eastAsia"/>
        </w:rPr>
        <w:t>18</w:t>
      </w:r>
      <w:r>
        <w:rPr>
          <w:rFonts w:hint="eastAsia"/>
        </w:rPr>
        <w:fldChar w:fldCharType="end"/>
      </w:r>
      <w:r>
        <w:rPr>
          <w:rFonts w:hint="eastAsia"/>
        </w:rPr>
        <w:fldChar w:fldCharType="end"/>
      </w:r>
    </w:p>
    <w:p w14:paraId="13E5502A">
      <w:pPr>
        <w:pStyle w:val="18"/>
        <w:tabs>
          <w:tab w:val="right" w:leader="dot" w:pos="8845"/>
        </w:tabs>
        <w:rPr>
          <w:rFonts w:hint="eastAsia"/>
        </w:rPr>
      </w:pPr>
      <w:r>
        <w:rPr>
          <w:rFonts w:hint="eastAsia"/>
        </w:rPr>
        <w:fldChar w:fldCharType="begin"/>
      </w:r>
      <w:r>
        <w:rPr>
          <w:rFonts w:hint="eastAsia"/>
        </w:rPr>
        <w:instrText xml:space="preserve"> HYPERLINK \l _Toc9636 </w:instrText>
      </w:r>
      <w:r>
        <w:rPr>
          <w:rFonts w:hint="eastAsia"/>
        </w:rPr>
        <w:fldChar w:fldCharType="separate"/>
      </w:r>
      <w:r>
        <w:rPr>
          <w:rFonts w:hint="eastAsia"/>
          <w:lang w:val="en-US" w:eastAsia="zh-CN"/>
        </w:rPr>
        <w:t>2.2.2全面落实课程思政</w:t>
      </w:r>
      <w:r>
        <w:rPr>
          <w:rFonts w:hint="eastAsia"/>
        </w:rPr>
        <w:tab/>
      </w:r>
      <w:r>
        <w:rPr>
          <w:rFonts w:hint="eastAsia"/>
        </w:rPr>
        <w:fldChar w:fldCharType="begin"/>
      </w:r>
      <w:r>
        <w:rPr>
          <w:rFonts w:hint="eastAsia"/>
        </w:rPr>
        <w:instrText xml:space="preserve"> PAGEREF _Toc9636 \h </w:instrText>
      </w:r>
      <w:r>
        <w:rPr>
          <w:rFonts w:hint="eastAsia"/>
        </w:rPr>
        <w:fldChar w:fldCharType="separate"/>
      </w:r>
      <w:r>
        <w:rPr>
          <w:rFonts w:hint="eastAsia"/>
        </w:rPr>
        <w:t>18</w:t>
      </w:r>
      <w:r>
        <w:rPr>
          <w:rFonts w:hint="eastAsia"/>
        </w:rPr>
        <w:fldChar w:fldCharType="end"/>
      </w:r>
      <w:r>
        <w:rPr>
          <w:rFonts w:hint="eastAsia"/>
        </w:rPr>
        <w:fldChar w:fldCharType="end"/>
      </w:r>
    </w:p>
    <w:p w14:paraId="3239E207">
      <w:pPr>
        <w:pStyle w:val="18"/>
        <w:tabs>
          <w:tab w:val="right" w:leader="dot" w:pos="8845"/>
        </w:tabs>
        <w:rPr>
          <w:rFonts w:hint="eastAsia"/>
        </w:rPr>
      </w:pPr>
      <w:r>
        <w:rPr>
          <w:rFonts w:hint="eastAsia"/>
        </w:rPr>
        <w:fldChar w:fldCharType="begin"/>
      </w:r>
      <w:r>
        <w:rPr>
          <w:rFonts w:hint="eastAsia"/>
        </w:rPr>
        <w:instrText xml:space="preserve"> HYPERLINK \l _Toc19714 </w:instrText>
      </w:r>
      <w:r>
        <w:rPr>
          <w:rFonts w:hint="eastAsia"/>
        </w:rPr>
        <w:fldChar w:fldCharType="separate"/>
      </w:r>
      <w:r>
        <w:rPr>
          <w:rFonts w:hint="eastAsia"/>
          <w:lang w:val="en-US" w:eastAsia="zh-CN"/>
        </w:rPr>
        <w:t>2.2.3打造精品在线课程</w:t>
      </w:r>
      <w:r>
        <w:rPr>
          <w:rFonts w:hint="eastAsia"/>
        </w:rPr>
        <w:tab/>
      </w:r>
      <w:r>
        <w:rPr>
          <w:rFonts w:hint="eastAsia"/>
        </w:rPr>
        <w:fldChar w:fldCharType="begin"/>
      </w:r>
      <w:r>
        <w:rPr>
          <w:rFonts w:hint="eastAsia"/>
        </w:rPr>
        <w:instrText xml:space="preserve"> PAGEREF _Toc19714 \h </w:instrText>
      </w:r>
      <w:r>
        <w:rPr>
          <w:rFonts w:hint="eastAsia"/>
        </w:rPr>
        <w:fldChar w:fldCharType="separate"/>
      </w:r>
      <w:r>
        <w:rPr>
          <w:rFonts w:hint="eastAsia"/>
        </w:rPr>
        <w:t>19</w:t>
      </w:r>
      <w:r>
        <w:rPr>
          <w:rFonts w:hint="eastAsia"/>
        </w:rPr>
        <w:fldChar w:fldCharType="end"/>
      </w:r>
      <w:r>
        <w:rPr>
          <w:rFonts w:hint="eastAsia"/>
        </w:rPr>
        <w:fldChar w:fldCharType="end"/>
      </w:r>
    </w:p>
    <w:p w14:paraId="59556D07">
      <w:pPr>
        <w:pStyle w:val="18"/>
        <w:tabs>
          <w:tab w:val="right" w:leader="dot" w:pos="8845"/>
        </w:tabs>
        <w:rPr>
          <w:rFonts w:hint="eastAsia"/>
        </w:rPr>
      </w:pPr>
      <w:r>
        <w:rPr>
          <w:rFonts w:hint="eastAsia"/>
        </w:rPr>
        <w:fldChar w:fldCharType="begin"/>
      </w:r>
      <w:r>
        <w:rPr>
          <w:rFonts w:hint="eastAsia"/>
        </w:rPr>
        <w:instrText xml:space="preserve"> HYPERLINK \l _Toc12426 </w:instrText>
      </w:r>
      <w:r>
        <w:rPr>
          <w:rFonts w:hint="eastAsia"/>
        </w:rPr>
        <w:fldChar w:fldCharType="separate"/>
      </w:r>
      <w:r>
        <w:rPr>
          <w:rFonts w:hint="eastAsia"/>
          <w:lang w:val="en-US" w:eastAsia="zh-CN"/>
        </w:rPr>
        <w:t>2.2.4课程建设质量标准与监测评价</w:t>
      </w:r>
      <w:r>
        <w:rPr>
          <w:rFonts w:hint="eastAsia"/>
        </w:rPr>
        <w:tab/>
      </w:r>
      <w:r>
        <w:rPr>
          <w:rFonts w:hint="eastAsia"/>
        </w:rPr>
        <w:fldChar w:fldCharType="begin"/>
      </w:r>
      <w:r>
        <w:rPr>
          <w:rFonts w:hint="eastAsia"/>
        </w:rPr>
        <w:instrText xml:space="preserve"> PAGEREF _Toc12426 \h </w:instrText>
      </w:r>
      <w:r>
        <w:rPr>
          <w:rFonts w:hint="eastAsia"/>
        </w:rPr>
        <w:fldChar w:fldCharType="separate"/>
      </w:r>
      <w:r>
        <w:rPr>
          <w:rFonts w:hint="eastAsia"/>
        </w:rPr>
        <w:t>19</w:t>
      </w:r>
      <w:r>
        <w:rPr>
          <w:rFonts w:hint="eastAsia"/>
        </w:rPr>
        <w:fldChar w:fldCharType="end"/>
      </w:r>
      <w:r>
        <w:rPr>
          <w:rFonts w:hint="eastAsia"/>
        </w:rPr>
        <w:fldChar w:fldCharType="end"/>
      </w:r>
    </w:p>
    <w:p w14:paraId="17D30676">
      <w:pPr>
        <w:pStyle w:val="18"/>
        <w:tabs>
          <w:tab w:val="right" w:leader="dot" w:pos="8845"/>
        </w:tabs>
        <w:rPr>
          <w:rFonts w:hint="eastAsia"/>
        </w:rPr>
      </w:pPr>
      <w:r>
        <w:rPr>
          <w:rFonts w:hint="eastAsia"/>
        </w:rPr>
        <w:fldChar w:fldCharType="begin"/>
      </w:r>
      <w:r>
        <w:rPr>
          <w:rFonts w:hint="eastAsia"/>
        </w:rPr>
        <w:instrText xml:space="preserve"> HYPERLINK \l _Toc23033 </w:instrText>
      </w:r>
      <w:r>
        <w:rPr>
          <w:rFonts w:hint="eastAsia"/>
        </w:rPr>
        <w:fldChar w:fldCharType="separate"/>
      </w:r>
      <w:r>
        <w:rPr>
          <w:rFonts w:hint="eastAsia"/>
          <w:lang w:val="en-US" w:eastAsia="zh-CN"/>
        </w:rPr>
        <w:t>2.2.5技工学校课程建设情况</w:t>
      </w:r>
      <w:r>
        <w:rPr>
          <w:rFonts w:hint="eastAsia"/>
        </w:rPr>
        <w:tab/>
      </w:r>
      <w:r>
        <w:rPr>
          <w:rFonts w:hint="eastAsia"/>
        </w:rPr>
        <w:fldChar w:fldCharType="begin"/>
      </w:r>
      <w:r>
        <w:rPr>
          <w:rFonts w:hint="eastAsia"/>
        </w:rPr>
        <w:instrText xml:space="preserve"> PAGEREF _Toc23033 \h </w:instrText>
      </w:r>
      <w:r>
        <w:rPr>
          <w:rFonts w:hint="eastAsia"/>
        </w:rPr>
        <w:fldChar w:fldCharType="separate"/>
      </w:r>
      <w:r>
        <w:rPr>
          <w:rFonts w:hint="eastAsia"/>
        </w:rPr>
        <w:t>19</w:t>
      </w:r>
      <w:r>
        <w:rPr>
          <w:rFonts w:hint="eastAsia"/>
        </w:rPr>
        <w:fldChar w:fldCharType="end"/>
      </w:r>
      <w:r>
        <w:rPr>
          <w:rFonts w:hint="eastAsia"/>
        </w:rPr>
        <w:fldChar w:fldCharType="end"/>
      </w:r>
    </w:p>
    <w:p w14:paraId="78F7C459">
      <w:pPr>
        <w:pStyle w:val="18"/>
        <w:tabs>
          <w:tab w:val="right" w:leader="dot" w:pos="8845"/>
        </w:tabs>
        <w:rPr>
          <w:rFonts w:hint="eastAsia"/>
        </w:rPr>
      </w:pPr>
      <w:r>
        <w:rPr>
          <w:rFonts w:hint="eastAsia"/>
        </w:rPr>
        <w:fldChar w:fldCharType="begin"/>
      </w:r>
      <w:r>
        <w:rPr>
          <w:rFonts w:hint="eastAsia"/>
        </w:rPr>
        <w:instrText xml:space="preserve"> HYPERLINK \l _Toc32458 </w:instrText>
      </w:r>
      <w:r>
        <w:rPr>
          <w:rFonts w:hint="eastAsia"/>
        </w:rPr>
        <w:fldChar w:fldCharType="separate"/>
      </w:r>
      <w:r>
        <w:rPr>
          <w:rFonts w:hint="eastAsia"/>
          <w:lang w:val="en-US" w:eastAsia="zh-CN"/>
        </w:rPr>
        <w:t>2.2.6特教中心课程建设情况</w:t>
      </w:r>
      <w:r>
        <w:rPr>
          <w:rFonts w:hint="eastAsia"/>
        </w:rPr>
        <w:tab/>
      </w:r>
      <w:r>
        <w:rPr>
          <w:rFonts w:hint="eastAsia"/>
        </w:rPr>
        <w:fldChar w:fldCharType="begin"/>
      </w:r>
      <w:r>
        <w:rPr>
          <w:rFonts w:hint="eastAsia"/>
        </w:rPr>
        <w:instrText xml:space="preserve"> PAGEREF _Toc32458 \h </w:instrText>
      </w:r>
      <w:r>
        <w:rPr>
          <w:rFonts w:hint="eastAsia"/>
        </w:rPr>
        <w:fldChar w:fldCharType="separate"/>
      </w:r>
      <w:r>
        <w:rPr>
          <w:rFonts w:hint="eastAsia"/>
        </w:rPr>
        <w:t>20</w:t>
      </w:r>
      <w:r>
        <w:rPr>
          <w:rFonts w:hint="eastAsia"/>
        </w:rPr>
        <w:fldChar w:fldCharType="end"/>
      </w:r>
      <w:r>
        <w:rPr>
          <w:rFonts w:hint="eastAsia"/>
        </w:rPr>
        <w:fldChar w:fldCharType="end"/>
      </w:r>
    </w:p>
    <w:p w14:paraId="73BA38C3">
      <w:pPr>
        <w:pStyle w:val="18"/>
        <w:tabs>
          <w:tab w:val="right" w:leader="dot" w:pos="8845"/>
        </w:tabs>
        <w:rPr>
          <w:rFonts w:hint="eastAsia"/>
        </w:rPr>
      </w:pPr>
      <w:r>
        <w:rPr>
          <w:rFonts w:hint="eastAsia"/>
        </w:rPr>
        <w:fldChar w:fldCharType="begin"/>
      </w:r>
      <w:r>
        <w:rPr>
          <w:rFonts w:hint="eastAsia"/>
        </w:rPr>
        <w:instrText xml:space="preserve"> HYPERLINK \l _Toc5482 </w:instrText>
      </w:r>
      <w:r>
        <w:rPr>
          <w:rFonts w:hint="eastAsia"/>
        </w:rPr>
        <w:fldChar w:fldCharType="separate"/>
      </w:r>
      <w:r>
        <w:rPr>
          <w:rFonts w:hint="eastAsia"/>
          <w:lang w:val="en-US" w:eastAsia="zh-CN"/>
        </w:rPr>
        <w:t>2.3.1创新教学形式</w:t>
      </w:r>
      <w:r>
        <w:rPr>
          <w:rFonts w:hint="eastAsia"/>
        </w:rPr>
        <w:tab/>
      </w:r>
      <w:r>
        <w:rPr>
          <w:rFonts w:hint="eastAsia"/>
        </w:rPr>
        <w:fldChar w:fldCharType="begin"/>
      </w:r>
      <w:r>
        <w:rPr>
          <w:rFonts w:hint="eastAsia"/>
        </w:rPr>
        <w:instrText xml:space="preserve"> PAGEREF _Toc5482 \h </w:instrText>
      </w:r>
      <w:r>
        <w:rPr>
          <w:rFonts w:hint="eastAsia"/>
        </w:rPr>
        <w:fldChar w:fldCharType="separate"/>
      </w:r>
      <w:r>
        <w:rPr>
          <w:rFonts w:hint="eastAsia"/>
        </w:rPr>
        <w:t>20</w:t>
      </w:r>
      <w:r>
        <w:rPr>
          <w:rFonts w:hint="eastAsia"/>
        </w:rPr>
        <w:fldChar w:fldCharType="end"/>
      </w:r>
      <w:r>
        <w:rPr>
          <w:rFonts w:hint="eastAsia"/>
        </w:rPr>
        <w:fldChar w:fldCharType="end"/>
      </w:r>
    </w:p>
    <w:p w14:paraId="275A0E03">
      <w:pPr>
        <w:pStyle w:val="18"/>
        <w:tabs>
          <w:tab w:val="right" w:leader="dot" w:pos="8845"/>
        </w:tabs>
        <w:rPr>
          <w:rFonts w:hint="eastAsia"/>
        </w:rPr>
      </w:pPr>
      <w:r>
        <w:rPr>
          <w:rFonts w:hint="eastAsia"/>
        </w:rPr>
        <w:fldChar w:fldCharType="begin"/>
      </w:r>
      <w:r>
        <w:rPr>
          <w:rFonts w:hint="eastAsia"/>
        </w:rPr>
        <w:instrText xml:space="preserve"> HYPERLINK \l _Toc18690 </w:instrText>
      </w:r>
      <w:r>
        <w:rPr>
          <w:rFonts w:hint="eastAsia"/>
        </w:rPr>
        <w:fldChar w:fldCharType="separate"/>
      </w:r>
      <w:r>
        <w:rPr>
          <w:rFonts w:hint="eastAsia"/>
          <w:lang w:val="en-US" w:eastAsia="zh-CN"/>
        </w:rPr>
        <w:t>2.3.2打造示范课堂</w:t>
      </w:r>
      <w:r>
        <w:rPr>
          <w:rFonts w:hint="eastAsia"/>
        </w:rPr>
        <w:tab/>
      </w:r>
      <w:r>
        <w:rPr>
          <w:rFonts w:hint="eastAsia"/>
        </w:rPr>
        <w:fldChar w:fldCharType="begin"/>
      </w:r>
      <w:r>
        <w:rPr>
          <w:rFonts w:hint="eastAsia"/>
        </w:rPr>
        <w:instrText xml:space="preserve"> PAGEREF _Toc18690 \h </w:instrText>
      </w:r>
      <w:r>
        <w:rPr>
          <w:rFonts w:hint="eastAsia"/>
        </w:rPr>
        <w:fldChar w:fldCharType="separate"/>
      </w:r>
      <w:r>
        <w:rPr>
          <w:rFonts w:hint="eastAsia"/>
        </w:rPr>
        <w:t>21</w:t>
      </w:r>
      <w:r>
        <w:rPr>
          <w:rFonts w:hint="eastAsia"/>
        </w:rPr>
        <w:fldChar w:fldCharType="end"/>
      </w:r>
      <w:r>
        <w:rPr>
          <w:rFonts w:hint="eastAsia"/>
        </w:rPr>
        <w:fldChar w:fldCharType="end"/>
      </w:r>
    </w:p>
    <w:p w14:paraId="07AE81FA">
      <w:pPr>
        <w:pStyle w:val="18"/>
        <w:tabs>
          <w:tab w:val="right" w:leader="dot" w:pos="8845"/>
        </w:tabs>
        <w:rPr>
          <w:rFonts w:hint="eastAsia"/>
        </w:rPr>
      </w:pPr>
      <w:r>
        <w:rPr>
          <w:rFonts w:hint="eastAsia"/>
        </w:rPr>
        <w:fldChar w:fldCharType="begin"/>
      </w:r>
      <w:r>
        <w:rPr>
          <w:rFonts w:hint="eastAsia"/>
        </w:rPr>
        <w:instrText xml:space="preserve"> HYPERLINK \l _Toc29628 </w:instrText>
      </w:r>
      <w:r>
        <w:rPr>
          <w:rFonts w:hint="eastAsia"/>
        </w:rPr>
        <w:fldChar w:fldCharType="separate"/>
      </w:r>
      <w:r>
        <w:rPr>
          <w:rFonts w:hint="eastAsia"/>
          <w:lang w:val="en-US" w:eastAsia="zh-CN"/>
        </w:rPr>
        <w:t>2.3.3教材使用</w:t>
      </w:r>
      <w:r>
        <w:rPr>
          <w:rFonts w:hint="eastAsia"/>
        </w:rPr>
        <w:tab/>
      </w:r>
      <w:r>
        <w:rPr>
          <w:rFonts w:hint="eastAsia"/>
        </w:rPr>
        <w:fldChar w:fldCharType="begin"/>
      </w:r>
      <w:r>
        <w:rPr>
          <w:rFonts w:hint="eastAsia"/>
        </w:rPr>
        <w:instrText xml:space="preserve"> PAGEREF _Toc29628 \h </w:instrText>
      </w:r>
      <w:r>
        <w:rPr>
          <w:rFonts w:hint="eastAsia"/>
        </w:rPr>
        <w:fldChar w:fldCharType="separate"/>
      </w:r>
      <w:r>
        <w:rPr>
          <w:rFonts w:hint="eastAsia"/>
        </w:rPr>
        <w:t>22</w:t>
      </w:r>
      <w:r>
        <w:rPr>
          <w:rFonts w:hint="eastAsia"/>
        </w:rPr>
        <w:fldChar w:fldCharType="end"/>
      </w:r>
      <w:r>
        <w:rPr>
          <w:rFonts w:hint="eastAsia"/>
        </w:rPr>
        <w:fldChar w:fldCharType="end"/>
      </w:r>
    </w:p>
    <w:p w14:paraId="116EED5A">
      <w:pPr>
        <w:pStyle w:val="18"/>
        <w:tabs>
          <w:tab w:val="right" w:leader="dot" w:pos="8845"/>
        </w:tabs>
        <w:rPr>
          <w:rFonts w:hint="eastAsia"/>
        </w:rPr>
      </w:pPr>
      <w:r>
        <w:rPr>
          <w:rFonts w:hint="eastAsia"/>
        </w:rPr>
        <w:fldChar w:fldCharType="begin"/>
      </w:r>
      <w:r>
        <w:rPr>
          <w:rFonts w:hint="eastAsia"/>
        </w:rPr>
        <w:instrText xml:space="preserve"> HYPERLINK \l _Toc24380 </w:instrText>
      </w:r>
      <w:r>
        <w:rPr>
          <w:rFonts w:hint="eastAsia"/>
        </w:rPr>
        <w:fldChar w:fldCharType="separate"/>
      </w:r>
      <w:r>
        <w:rPr>
          <w:rFonts w:hint="eastAsia"/>
          <w:lang w:val="en-US" w:eastAsia="zh-CN"/>
        </w:rPr>
        <w:t>2.3.4师资建设</w:t>
      </w:r>
      <w:r>
        <w:rPr>
          <w:rFonts w:hint="eastAsia"/>
        </w:rPr>
        <w:tab/>
      </w:r>
      <w:r>
        <w:rPr>
          <w:rFonts w:hint="eastAsia"/>
        </w:rPr>
        <w:fldChar w:fldCharType="begin"/>
      </w:r>
      <w:r>
        <w:rPr>
          <w:rFonts w:hint="eastAsia"/>
        </w:rPr>
        <w:instrText xml:space="preserve"> PAGEREF _Toc24380 \h </w:instrText>
      </w:r>
      <w:r>
        <w:rPr>
          <w:rFonts w:hint="eastAsia"/>
        </w:rPr>
        <w:fldChar w:fldCharType="separate"/>
      </w:r>
      <w:r>
        <w:rPr>
          <w:rFonts w:hint="eastAsia"/>
        </w:rPr>
        <w:t>23</w:t>
      </w:r>
      <w:r>
        <w:rPr>
          <w:rFonts w:hint="eastAsia"/>
        </w:rPr>
        <w:fldChar w:fldCharType="end"/>
      </w:r>
      <w:r>
        <w:rPr>
          <w:rFonts w:hint="eastAsia"/>
        </w:rPr>
        <w:fldChar w:fldCharType="end"/>
      </w:r>
    </w:p>
    <w:p w14:paraId="1AA445F0">
      <w:pPr>
        <w:pStyle w:val="18"/>
        <w:tabs>
          <w:tab w:val="right" w:leader="dot" w:pos="8845"/>
        </w:tabs>
        <w:rPr>
          <w:rFonts w:hint="eastAsia"/>
        </w:rPr>
      </w:pPr>
      <w:r>
        <w:rPr>
          <w:rFonts w:hint="eastAsia"/>
        </w:rPr>
        <w:fldChar w:fldCharType="begin"/>
      </w:r>
      <w:r>
        <w:rPr>
          <w:rFonts w:hint="eastAsia"/>
        </w:rPr>
        <w:instrText xml:space="preserve"> HYPERLINK \l _Toc25896 </w:instrText>
      </w:r>
      <w:r>
        <w:rPr>
          <w:rFonts w:hint="eastAsia"/>
        </w:rPr>
        <w:fldChar w:fldCharType="separate"/>
      </w:r>
      <w:r>
        <w:rPr>
          <w:rFonts w:hint="eastAsia"/>
          <w:lang w:val="en-US" w:eastAsia="zh-CN"/>
        </w:rPr>
        <w:t>2.3.5技工学校“三教”改革情况</w:t>
      </w:r>
      <w:r>
        <w:rPr>
          <w:rFonts w:hint="eastAsia"/>
        </w:rPr>
        <w:tab/>
      </w:r>
      <w:r>
        <w:rPr>
          <w:rFonts w:hint="eastAsia"/>
        </w:rPr>
        <w:fldChar w:fldCharType="begin"/>
      </w:r>
      <w:r>
        <w:rPr>
          <w:rFonts w:hint="eastAsia"/>
        </w:rPr>
        <w:instrText xml:space="preserve"> PAGEREF _Toc25896 \h </w:instrText>
      </w:r>
      <w:r>
        <w:rPr>
          <w:rFonts w:hint="eastAsia"/>
        </w:rPr>
        <w:fldChar w:fldCharType="separate"/>
      </w:r>
      <w:r>
        <w:rPr>
          <w:rFonts w:hint="eastAsia"/>
        </w:rPr>
        <w:t>24</w:t>
      </w:r>
      <w:r>
        <w:rPr>
          <w:rFonts w:hint="eastAsia"/>
        </w:rPr>
        <w:fldChar w:fldCharType="end"/>
      </w:r>
      <w:r>
        <w:rPr>
          <w:rFonts w:hint="eastAsia"/>
        </w:rPr>
        <w:fldChar w:fldCharType="end"/>
      </w:r>
    </w:p>
    <w:p w14:paraId="03D8933A">
      <w:pPr>
        <w:pStyle w:val="18"/>
        <w:tabs>
          <w:tab w:val="right" w:leader="dot" w:pos="8845"/>
        </w:tabs>
        <w:rPr>
          <w:rFonts w:hint="eastAsia"/>
        </w:rPr>
      </w:pPr>
      <w:r>
        <w:rPr>
          <w:rFonts w:hint="eastAsia"/>
        </w:rPr>
        <w:fldChar w:fldCharType="begin"/>
      </w:r>
      <w:r>
        <w:rPr>
          <w:rFonts w:hint="eastAsia"/>
        </w:rPr>
        <w:instrText xml:space="preserve"> HYPERLINK \l _Toc6097 </w:instrText>
      </w:r>
      <w:r>
        <w:rPr>
          <w:rFonts w:hint="eastAsia"/>
        </w:rPr>
        <w:fldChar w:fldCharType="separate"/>
      </w:r>
      <w:r>
        <w:rPr>
          <w:rFonts w:hint="eastAsia"/>
          <w:lang w:val="en-US" w:eastAsia="zh-CN"/>
        </w:rPr>
        <w:t>2.3.6特教中心“三教”改革情况</w:t>
      </w:r>
      <w:r>
        <w:rPr>
          <w:rFonts w:hint="eastAsia"/>
        </w:rPr>
        <w:tab/>
      </w:r>
      <w:r>
        <w:rPr>
          <w:rFonts w:hint="eastAsia"/>
        </w:rPr>
        <w:fldChar w:fldCharType="begin"/>
      </w:r>
      <w:r>
        <w:rPr>
          <w:rFonts w:hint="eastAsia"/>
        </w:rPr>
        <w:instrText xml:space="preserve"> PAGEREF _Toc6097 \h </w:instrText>
      </w:r>
      <w:r>
        <w:rPr>
          <w:rFonts w:hint="eastAsia"/>
        </w:rPr>
        <w:fldChar w:fldCharType="separate"/>
      </w:r>
      <w:r>
        <w:rPr>
          <w:rFonts w:hint="eastAsia"/>
        </w:rPr>
        <w:t>27</w:t>
      </w:r>
      <w:r>
        <w:rPr>
          <w:rFonts w:hint="eastAsia"/>
        </w:rPr>
        <w:fldChar w:fldCharType="end"/>
      </w:r>
      <w:r>
        <w:rPr>
          <w:rFonts w:hint="eastAsia"/>
        </w:rPr>
        <w:fldChar w:fldCharType="end"/>
      </w:r>
    </w:p>
    <w:p w14:paraId="31E00FDA">
      <w:pPr>
        <w:pStyle w:val="18"/>
        <w:tabs>
          <w:tab w:val="right" w:leader="dot" w:pos="8845"/>
        </w:tabs>
        <w:rPr>
          <w:rFonts w:hint="eastAsia"/>
        </w:rPr>
      </w:pPr>
      <w:r>
        <w:rPr>
          <w:rFonts w:hint="eastAsia"/>
        </w:rPr>
        <w:fldChar w:fldCharType="begin"/>
      </w:r>
      <w:r>
        <w:rPr>
          <w:rFonts w:hint="eastAsia"/>
        </w:rPr>
        <w:instrText xml:space="preserve"> HYPERLINK \l _Toc6526 </w:instrText>
      </w:r>
      <w:r>
        <w:rPr>
          <w:rFonts w:hint="eastAsia"/>
        </w:rPr>
        <w:fldChar w:fldCharType="separate"/>
      </w:r>
      <w:r>
        <w:rPr>
          <w:rFonts w:hint="eastAsia"/>
          <w:lang w:val="en-US" w:eastAsia="zh-CN"/>
        </w:rPr>
        <w:t>2.4信息化建设</w:t>
      </w:r>
      <w:r>
        <w:rPr>
          <w:rFonts w:hint="eastAsia"/>
        </w:rPr>
        <w:tab/>
      </w:r>
      <w:r>
        <w:rPr>
          <w:rFonts w:hint="eastAsia"/>
        </w:rPr>
        <w:fldChar w:fldCharType="begin"/>
      </w:r>
      <w:r>
        <w:rPr>
          <w:rFonts w:hint="eastAsia"/>
        </w:rPr>
        <w:instrText xml:space="preserve"> PAGEREF _Toc6526 \h </w:instrText>
      </w:r>
      <w:r>
        <w:rPr>
          <w:rFonts w:hint="eastAsia"/>
        </w:rPr>
        <w:fldChar w:fldCharType="separate"/>
      </w:r>
      <w:r>
        <w:rPr>
          <w:rFonts w:hint="eastAsia"/>
        </w:rPr>
        <w:t>27</w:t>
      </w:r>
      <w:r>
        <w:rPr>
          <w:rFonts w:hint="eastAsia"/>
        </w:rPr>
        <w:fldChar w:fldCharType="end"/>
      </w:r>
      <w:r>
        <w:rPr>
          <w:rFonts w:hint="eastAsia"/>
        </w:rPr>
        <w:fldChar w:fldCharType="end"/>
      </w:r>
    </w:p>
    <w:p w14:paraId="0637D715">
      <w:pPr>
        <w:pStyle w:val="18"/>
        <w:tabs>
          <w:tab w:val="right" w:leader="dot" w:pos="8845"/>
        </w:tabs>
        <w:rPr>
          <w:rFonts w:hint="eastAsia"/>
        </w:rPr>
      </w:pPr>
      <w:r>
        <w:rPr>
          <w:rFonts w:hint="eastAsia"/>
        </w:rPr>
        <w:fldChar w:fldCharType="begin"/>
      </w:r>
      <w:r>
        <w:rPr>
          <w:rFonts w:hint="eastAsia"/>
        </w:rPr>
        <w:instrText xml:space="preserve"> HYPERLINK \l _Toc21164 </w:instrText>
      </w:r>
      <w:r>
        <w:rPr>
          <w:rFonts w:hint="eastAsia"/>
        </w:rPr>
        <w:fldChar w:fldCharType="separate"/>
      </w:r>
      <w:r>
        <w:rPr>
          <w:rFonts w:hint="eastAsia"/>
          <w:lang w:val="en-US" w:eastAsia="zh-CN"/>
        </w:rPr>
        <w:t>2.4.1校园信息化建设情况</w:t>
      </w:r>
      <w:r>
        <w:rPr>
          <w:rFonts w:hint="eastAsia"/>
        </w:rPr>
        <w:tab/>
      </w:r>
      <w:r>
        <w:rPr>
          <w:rFonts w:hint="eastAsia"/>
        </w:rPr>
        <w:fldChar w:fldCharType="begin"/>
      </w:r>
      <w:r>
        <w:rPr>
          <w:rFonts w:hint="eastAsia"/>
        </w:rPr>
        <w:instrText xml:space="preserve"> PAGEREF _Toc21164 \h </w:instrText>
      </w:r>
      <w:r>
        <w:rPr>
          <w:rFonts w:hint="eastAsia"/>
        </w:rPr>
        <w:fldChar w:fldCharType="separate"/>
      </w:r>
      <w:r>
        <w:rPr>
          <w:rFonts w:hint="eastAsia"/>
        </w:rPr>
        <w:t>27</w:t>
      </w:r>
      <w:r>
        <w:rPr>
          <w:rFonts w:hint="eastAsia"/>
        </w:rPr>
        <w:fldChar w:fldCharType="end"/>
      </w:r>
      <w:r>
        <w:rPr>
          <w:rFonts w:hint="eastAsia"/>
        </w:rPr>
        <w:fldChar w:fldCharType="end"/>
      </w:r>
    </w:p>
    <w:p w14:paraId="5C817D51">
      <w:pPr>
        <w:pStyle w:val="18"/>
        <w:tabs>
          <w:tab w:val="right" w:leader="dot" w:pos="8845"/>
        </w:tabs>
        <w:rPr>
          <w:rFonts w:hint="eastAsia"/>
        </w:rPr>
      </w:pPr>
      <w:r>
        <w:rPr>
          <w:rFonts w:hint="eastAsia"/>
        </w:rPr>
        <w:fldChar w:fldCharType="begin"/>
      </w:r>
      <w:r>
        <w:rPr>
          <w:rFonts w:hint="eastAsia"/>
        </w:rPr>
        <w:instrText xml:space="preserve"> HYPERLINK \l _Toc2803 </w:instrText>
      </w:r>
      <w:r>
        <w:rPr>
          <w:rFonts w:hint="eastAsia"/>
        </w:rPr>
        <w:fldChar w:fldCharType="separate"/>
      </w:r>
      <w:r>
        <w:rPr>
          <w:rFonts w:hint="eastAsia"/>
          <w:lang w:val="en-US" w:eastAsia="zh-CN"/>
        </w:rPr>
        <w:t>2.4.2数字资源建设</w:t>
      </w:r>
      <w:r>
        <w:rPr>
          <w:rFonts w:hint="eastAsia"/>
        </w:rPr>
        <w:tab/>
      </w:r>
      <w:r>
        <w:rPr>
          <w:rFonts w:hint="eastAsia"/>
        </w:rPr>
        <w:fldChar w:fldCharType="begin"/>
      </w:r>
      <w:r>
        <w:rPr>
          <w:rFonts w:hint="eastAsia"/>
        </w:rPr>
        <w:instrText xml:space="preserve"> PAGEREF _Toc2803 \h </w:instrText>
      </w:r>
      <w:r>
        <w:rPr>
          <w:rFonts w:hint="eastAsia"/>
        </w:rPr>
        <w:fldChar w:fldCharType="separate"/>
      </w:r>
      <w:r>
        <w:rPr>
          <w:rFonts w:hint="eastAsia"/>
        </w:rPr>
        <w:t>28</w:t>
      </w:r>
      <w:r>
        <w:rPr>
          <w:rFonts w:hint="eastAsia"/>
        </w:rPr>
        <w:fldChar w:fldCharType="end"/>
      </w:r>
      <w:r>
        <w:rPr>
          <w:rFonts w:hint="eastAsia"/>
        </w:rPr>
        <w:fldChar w:fldCharType="end"/>
      </w:r>
    </w:p>
    <w:p w14:paraId="396B57AE">
      <w:pPr>
        <w:pStyle w:val="18"/>
        <w:tabs>
          <w:tab w:val="right" w:leader="dot" w:pos="8845"/>
        </w:tabs>
        <w:rPr>
          <w:rFonts w:hint="eastAsia"/>
        </w:rPr>
      </w:pPr>
      <w:r>
        <w:rPr>
          <w:rFonts w:hint="eastAsia"/>
        </w:rPr>
        <w:fldChar w:fldCharType="begin"/>
      </w:r>
      <w:r>
        <w:rPr>
          <w:rFonts w:hint="eastAsia"/>
        </w:rPr>
        <w:instrText xml:space="preserve"> HYPERLINK \l _Toc7001 </w:instrText>
      </w:r>
      <w:r>
        <w:rPr>
          <w:rFonts w:hint="eastAsia"/>
        </w:rPr>
        <w:fldChar w:fldCharType="separate"/>
      </w:r>
      <w:r>
        <w:rPr>
          <w:rFonts w:hint="eastAsia"/>
          <w:lang w:val="en-US" w:eastAsia="zh-CN"/>
        </w:rPr>
        <w:t>2.4.3有序规范推动师生信息化运用</w:t>
      </w:r>
      <w:r>
        <w:rPr>
          <w:rFonts w:hint="eastAsia"/>
        </w:rPr>
        <w:tab/>
      </w:r>
      <w:r>
        <w:rPr>
          <w:rFonts w:hint="eastAsia"/>
        </w:rPr>
        <w:fldChar w:fldCharType="begin"/>
      </w:r>
      <w:r>
        <w:rPr>
          <w:rFonts w:hint="eastAsia"/>
        </w:rPr>
        <w:instrText xml:space="preserve"> PAGEREF _Toc7001 \h </w:instrText>
      </w:r>
      <w:r>
        <w:rPr>
          <w:rFonts w:hint="eastAsia"/>
        </w:rPr>
        <w:fldChar w:fldCharType="separate"/>
      </w:r>
      <w:r>
        <w:rPr>
          <w:rFonts w:hint="eastAsia"/>
        </w:rPr>
        <w:t>29</w:t>
      </w:r>
      <w:r>
        <w:rPr>
          <w:rFonts w:hint="eastAsia"/>
        </w:rPr>
        <w:fldChar w:fldCharType="end"/>
      </w:r>
      <w:r>
        <w:rPr>
          <w:rFonts w:hint="eastAsia"/>
        </w:rPr>
        <w:fldChar w:fldCharType="end"/>
      </w:r>
    </w:p>
    <w:p w14:paraId="1948F865">
      <w:pPr>
        <w:pStyle w:val="18"/>
        <w:tabs>
          <w:tab w:val="right" w:leader="dot" w:pos="8845"/>
        </w:tabs>
        <w:rPr>
          <w:rFonts w:hint="eastAsia"/>
        </w:rPr>
      </w:pPr>
      <w:r>
        <w:rPr>
          <w:rFonts w:hint="eastAsia"/>
        </w:rPr>
        <w:fldChar w:fldCharType="begin"/>
      </w:r>
      <w:r>
        <w:rPr>
          <w:rFonts w:hint="eastAsia"/>
        </w:rPr>
        <w:instrText xml:space="preserve"> HYPERLINK \l _Toc20580 </w:instrText>
      </w:r>
      <w:r>
        <w:rPr>
          <w:rFonts w:hint="eastAsia"/>
        </w:rPr>
        <w:fldChar w:fldCharType="separate"/>
      </w:r>
      <w:r>
        <w:rPr>
          <w:rFonts w:hint="eastAsia"/>
          <w:lang w:val="en-US" w:eastAsia="zh-CN"/>
        </w:rPr>
        <w:t>2.4.4技工学校信息化建设情况</w:t>
      </w:r>
      <w:r>
        <w:rPr>
          <w:rFonts w:hint="eastAsia"/>
        </w:rPr>
        <w:tab/>
      </w:r>
      <w:r>
        <w:rPr>
          <w:rFonts w:hint="eastAsia"/>
        </w:rPr>
        <w:fldChar w:fldCharType="begin"/>
      </w:r>
      <w:r>
        <w:rPr>
          <w:rFonts w:hint="eastAsia"/>
        </w:rPr>
        <w:instrText xml:space="preserve"> PAGEREF _Toc20580 \h </w:instrText>
      </w:r>
      <w:r>
        <w:rPr>
          <w:rFonts w:hint="eastAsia"/>
        </w:rPr>
        <w:fldChar w:fldCharType="separate"/>
      </w:r>
      <w:r>
        <w:rPr>
          <w:rFonts w:hint="eastAsia"/>
        </w:rPr>
        <w:t>29</w:t>
      </w:r>
      <w:r>
        <w:rPr>
          <w:rFonts w:hint="eastAsia"/>
        </w:rPr>
        <w:fldChar w:fldCharType="end"/>
      </w:r>
      <w:r>
        <w:rPr>
          <w:rFonts w:hint="eastAsia"/>
        </w:rPr>
        <w:fldChar w:fldCharType="end"/>
      </w:r>
    </w:p>
    <w:p w14:paraId="4C649DE2">
      <w:pPr>
        <w:pStyle w:val="18"/>
        <w:tabs>
          <w:tab w:val="right" w:leader="dot" w:pos="8845"/>
        </w:tabs>
        <w:rPr>
          <w:rFonts w:hint="eastAsia"/>
        </w:rPr>
      </w:pPr>
      <w:r>
        <w:rPr>
          <w:rFonts w:hint="eastAsia"/>
        </w:rPr>
        <w:fldChar w:fldCharType="begin"/>
      </w:r>
      <w:r>
        <w:rPr>
          <w:rFonts w:hint="eastAsia"/>
        </w:rPr>
        <w:instrText xml:space="preserve"> HYPERLINK \l _Toc2237 </w:instrText>
      </w:r>
      <w:r>
        <w:rPr>
          <w:rFonts w:hint="eastAsia"/>
        </w:rPr>
        <w:fldChar w:fldCharType="separate"/>
      </w:r>
      <w:r>
        <w:rPr>
          <w:rFonts w:hint="eastAsia"/>
          <w:lang w:val="en-US" w:eastAsia="zh-CN"/>
        </w:rPr>
        <w:t>2.4.5特教中心信息化建设情况</w:t>
      </w:r>
      <w:r>
        <w:rPr>
          <w:rFonts w:hint="eastAsia"/>
        </w:rPr>
        <w:tab/>
      </w:r>
      <w:r>
        <w:rPr>
          <w:rFonts w:hint="eastAsia"/>
        </w:rPr>
        <w:fldChar w:fldCharType="begin"/>
      </w:r>
      <w:r>
        <w:rPr>
          <w:rFonts w:hint="eastAsia"/>
        </w:rPr>
        <w:instrText xml:space="preserve"> PAGEREF _Toc2237 \h </w:instrText>
      </w:r>
      <w:r>
        <w:rPr>
          <w:rFonts w:hint="eastAsia"/>
        </w:rPr>
        <w:fldChar w:fldCharType="separate"/>
      </w:r>
      <w:r>
        <w:rPr>
          <w:rFonts w:hint="eastAsia"/>
        </w:rPr>
        <w:t>30</w:t>
      </w:r>
      <w:r>
        <w:rPr>
          <w:rFonts w:hint="eastAsia"/>
        </w:rPr>
        <w:fldChar w:fldCharType="end"/>
      </w:r>
      <w:r>
        <w:rPr>
          <w:rFonts w:hint="eastAsia"/>
        </w:rPr>
        <w:fldChar w:fldCharType="end"/>
      </w:r>
    </w:p>
    <w:p w14:paraId="48D0C803">
      <w:pPr>
        <w:pStyle w:val="18"/>
        <w:tabs>
          <w:tab w:val="right" w:leader="dot" w:pos="8845"/>
        </w:tabs>
        <w:rPr>
          <w:rFonts w:hint="eastAsia"/>
        </w:rPr>
      </w:pPr>
      <w:r>
        <w:rPr>
          <w:rFonts w:hint="eastAsia"/>
        </w:rPr>
        <w:fldChar w:fldCharType="begin"/>
      </w:r>
      <w:r>
        <w:rPr>
          <w:rFonts w:hint="eastAsia"/>
        </w:rPr>
        <w:instrText xml:space="preserve"> HYPERLINK \l _Toc31414 </w:instrText>
      </w:r>
      <w:r>
        <w:rPr>
          <w:rFonts w:hint="eastAsia"/>
        </w:rPr>
        <w:fldChar w:fldCharType="separate"/>
      </w:r>
      <w:r>
        <w:rPr>
          <w:rFonts w:hint="eastAsia"/>
          <w:lang w:val="en-US" w:eastAsia="zh-CN"/>
        </w:rPr>
        <w:t>2.5毕业去向落实</w:t>
      </w:r>
      <w:r>
        <w:rPr>
          <w:rFonts w:hint="eastAsia"/>
        </w:rPr>
        <w:tab/>
      </w:r>
      <w:r>
        <w:rPr>
          <w:rFonts w:hint="eastAsia"/>
        </w:rPr>
        <w:fldChar w:fldCharType="begin"/>
      </w:r>
      <w:r>
        <w:rPr>
          <w:rFonts w:hint="eastAsia"/>
        </w:rPr>
        <w:instrText xml:space="preserve"> PAGEREF _Toc31414 \h </w:instrText>
      </w:r>
      <w:r>
        <w:rPr>
          <w:rFonts w:hint="eastAsia"/>
        </w:rPr>
        <w:fldChar w:fldCharType="separate"/>
      </w:r>
      <w:r>
        <w:rPr>
          <w:rFonts w:hint="eastAsia"/>
        </w:rPr>
        <w:t>31</w:t>
      </w:r>
      <w:r>
        <w:rPr>
          <w:rFonts w:hint="eastAsia"/>
        </w:rPr>
        <w:fldChar w:fldCharType="end"/>
      </w:r>
      <w:r>
        <w:rPr>
          <w:rFonts w:hint="eastAsia"/>
        </w:rPr>
        <w:fldChar w:fldCharType="end"/>
      </w:r>
    </w:p>
    <w:p w14:paraId="25872CE0">
      <w:pPr>
        <w:pStyle w:val="18"/>
        <w:tabs>
          <w:tab w:val="right" w:leader="dot" w:pos="8845"/>
        </w:tabs>
        <w:rPr>
          <w:rFonts w:hint="eastAsia"/>
        </w:rPr>
      </w:pPr>
      <w:r>
        <w:rPr>
          <w:rFonts w:hint="eastAsia"/>
        </w:rPr>
        <w:fldChar w:fldCharType="begin"/>
      </w:r>
      <w:r>
        <w:rPr>
          <w:rFonts w:hint="eastAsia"/>
        </w:rPr>
        <w:instrText xml:space="preserve"> HYPERLINK \l _Toc12145 </w:instrText>
      </w:r>
      <w:r>
        <w:rPr>
          <w:rFonts w:hint="eastAsia"/>
        </w:rPr>
        <w:fldChar w:fldCharType="separate"/>
      </w:r>
      <w:r>
        <w:rPr>
          <w:rFonts w:hint="eastAsia"/>
          <w:lang w:val="en-US" w:eastAsia="zh-CN"/>
        </w:rPr>
        <w:t>2.5.1就业质量</w:t>
      </w:r>
      <w:r>
        <w:rPr>
          <w:rFonts w:hint="eastAsia"/>
        </w:rPr>
        <w:tab/>
      </w:r>
      <w:r>
        <w:rPr>
          <w:rFonts w:hint="eastAsia"/>
        </w:rPr>
        <w:fldChar w:fldCharType="begin"/>
      </w:r>
      <w:r>
        <w:rPr>
          <w:rFonts w:hint="eastAsia"/>
        </w:rPr>
        <w:instrText xml:space="preserve"> PAGEREF _Toc12145 \h </w:instrText>
      </w:r>
      <w:r>
        <w:rPr>
          <w:rFonts w:hint="eastAsia"/>
        </w:rPr>
        <w:fldChar w:fldCharType="separate"/>
      </w:r>
      <w:r>
        <w:rPr>
          <w:rFonts w:hint="eastAsia"/>
        </w:rPr>
        <w:t>31</w:t>
      </w:r>
      <w:r>
        <w:rPr>
          <w:rFonts w:hint="eastAsia"/>
        </w:rPr>
        <w:fldChar w:fldCharType="end"/>
      </w:r>
      <w:r>
        <w:rPr>
          <w:rFonts w:hint="eastAsia"/>
        </w:rPr>
        <w:fldChar w:fldCharType="end"/>
      </w:r>
    </w:p>
    <w:p w14:paraId="55A9A708">
      <w:pPr>
        <w:pStyle w:val="18"/>
        <w:tabs>
          <w:tab w:val="right" w:leader="dot" w:pos="8845"/>
        </w:tabs>
        <w:rPr>
          <w:rFonts w:hint="eastAsia"/>
        </w:rPr>
      </w:pPr>
      <w:r>
        <w:rPr>
          <w:rFonts w:hint="eastAsia"/>
        </w:rPr>
        <w:fldChar w:fldCharType="begin"/>
      </w:r>
      <w:r>
        <w:rPr>
          <w:rFonts w:hint="eastAsia"/>
        </w:rPr>
        <w:instrText xml:space="preserve"> HYPERLINK \l _Toc7740 </w:instrText>
      </w:r>
      <w:r>
        <w:rPr>
          <w:rFonts w:hint="eastAsia"/>
        </w:rPr>
        <w:fldChar w:fldCharType="separate"/>
      </w:r>
      <w:r>
        <w:rPr>
          <w:rFonts w:hint="eastAsia"/>
          <w:lang w:val="en-US" w:eastAsia="zh-CN"/>
        </w:rPr>
        <w:t>2.5.2升学情况</w:t>
      </w:r>
      <w:r>
        <w:rPr>
          <w:rFonts w:hint="eastAsia"/>
        </w:rPr>
        <w:tab/>
      </w:r>
      <w:r>
        <w:rPr>
          <w:rFonts w:hint="eastAsia"/>
        </w:rPr>
        <w:fldChar w:fldCharType="begin"/>
      </w:r>
      <w:r>
        <w:rPr>
          <w:rFonts w:hint="eastAsia"/>
        </w:rPr>
        <w:instrText xml:space="preserve"> PAGEREF _Toc7740 \h </w:instrText>
      </w:r>
      <w:r>
        <w:rPr>
          <w:rFonts w:hint="eastAsia"/>
        </w:rPr>
        <w:fldChar w:fldCharType="separate"/>
      </w:r>
      <w:r>
        <w:rPr>
          <w:rFonts w:hint="eastAsia"/>
        </w:rPr>
        <w:t>31</w:t>
      </w:r>
      <w:r>
        <w:rPr>
          <w:rFonts w:hint="eastAsia"/>
        </w:rPr>
        <w:fldChar w:fldCharType="end"/>
      </w:r>
      <w:r>
        <w:rPr>
          <w:rFonts w:hint="eastAsia"/>
        </w:rPr>
        <w:fldChar w:fldCharType="end"/>
      </w:r>
    </w:p>
    <w:p w14:paraId="438E64A5">
      <w:pPr>
        <w:pStyle w:val="18"/>
        <w:tabs>
          <w:tab w:val="right" w:leader="dot" w:pos="8845"/>
        </w:tabs>
        <w:rPr>
          <w:rFonts w:hint="eastAsia"/>
        </w:rPr>
      </w:pPr>
      <w:r>
        <w:rPr>
          <w:rFonts w:hint="eastAsia"/>
        </w:rPr>
        <w:fldChar w:fldCharType="begin"/>
      </w:r>
      <w:r>
        <w:rPr>
          <w:rFonts w:hint="eastAsia"/>
        </w:rPr>
        <w:instrText xml:space="preserve"> HYPERLINK \l _Toc25621 </w:instrText>
      </w:r>
      <w:r>
        <w:rPr>
          <w:rFonts w:hint="eastAsia"/>
        </w:rPr>
        <w:fldChar w:fldCharType="separate"/>
      </w:r>
      <w:r>
        <w:rPr>
          <w:rFonts w:hint="eastAsia"/>
          <w:lang w:val="en-US" w:eastAsia="zh-CN"/>
        </w:rPr>
        <w:t>2.5.3创新创业</w:t>
      </w:r>
      <w:r>
        <w:rPr>
          <w:rFonts w:hint="eastAsia"/>
        </w:rPr>
        <w:tab/>
      </w:r>
      <w:r>
        <w:rPr>
          <w:rFonts w:hint="eastAsia"/>
        </w:rPr>
        <w:fldChar w:fldCharType="begin"/>
      </w:r>
      <w:r>
        <w:rPr>
          <w:rFonts w:hint="eastAsia"/>
        </w:rPr>
        <w:instrText xml:space="preserve"> PAGEREF _Toc25621 \h </w:instrText>
      </w:r>
      <w:r>
        <w:rPr>
          <w:rFonts w:hint="eastAsia"/>
        </w:rPr>
        <w:fldChar w:fldCharType="separate"/>
      </w:r>
      <w:r>
        <w:rPr>
          <w:rFonts w:hint="eastAsia"/>
        </w:rPr>
        <w:t>32</w:t>
      </w:r>
      <w:r>
        <w:rPr>
          <w:rFonts w:hint="eastAsia"/>
        </w:rPr>
        <w:fldChar w:fldCharType="end"/>
      </w:r>
      <w:r>
        <w:rPr>
          <w:rFonts w:hint="eastAsia"/>
        </w:rPr>
        <w:fldChar w:fldCharType="end"/>
      </w:r>
    </w:p>
    <w:p w14:paraId="59BFF7BF">
      <w:pPr>
        <w:pStyle w:val="18"/>
        <w:tabs>
          <w:tab w:val="right" w:leader="dot" w:pos="8845"/>
        </w:tabs>
        <w:rPr>
          <w:rFonts w:hint="eastAsia"/>
        </w:rPr>
      </w:pPr>
      <w:r>
        <w:rPr>
          <w:rFonts w:hint="eastAsia"/>
        </w:rPr>
        <w:fldChar w:fldCharType="begin"/>
      </w:r>
      <w:r>
        <w:rPr>
          <w:rFonts w:hint="eastAsia"/>
        </w:rPr>
        <w:instrText xml:space="preserve"> HYPERLINK \l _Toc28748 </w:instrText>
      </w:r>
      <w:r>
        <w:rPr>
          <w:rFonts w:hint="eastAsia"/>
        </w:rPr>
        <w:fldChar w:fldCharType="separate"/>
      </w:r>
      <w:r>
        <w:rPr>
          <w:rFonts w:hint="eastAsia"/>
          <w:lang w:val="en-US" w:eastAsia="zh-CN"/>
        </w:rPr>
        <w:t>2.5.4技工学校毕业去向落实情况</w:t>
      </w:r>
      <w:r>
        <w:rPr>
          <w:rFonts w:hint="eastAsia"/>
        </w:rPr>
        <w:tab/>
      </w:r>
      <w:r>
        <w:rPr>
          <w:rFonts w:hint="eastAsia"/>
        </w:rPr>
        <w:fldChar w:fldCharType="begin"/>
      </w:r>
      <w:r>
        <w:rPr>
          <w:rFonts w:hint="eastAsia"/>
        </w:rPr>
        <w:instrText xml:space="preserve"> PAGEREF _Toc28748 \h </w:instrText>
      </w:r>
      <w:r>
        <w:rPr>
          <w:rFonts w:hint="eastAsia"/>
        </w:rPr>
        <w:fldChar w:fldCharType="separate"/>
      </w:r>
      <w:r>
        <w:rPr>
          <w:rFonts w:hint="eastAsia"/>
        </w:rPr>
        <w:t>33</w:t>
      </w:r>
      <w:r>
        <w:rPr>
          <w:rFonts w:hint="eastAsia"/>
        </w:rPr>
        <w:fldChar w:fldCharType="end"/>
      </w:r>
      <w:r>
        <w:rPr>
          <w:rFonts w:hint="eastAsia"/>
        </w:rPr>
        <w:fldChar w:fldCharType="end"/>
      </w:r>
    </w:p>
    <w:p w14:paraId="78C7D8C7">
      <w:pPr>
        <w:pStyle w:val="18"/>
        <w:tabs>
          <w:tab w:val="right" w:leader="dot" w:pos="8845"/>
        </w:tabs>
        <w:rPr>
          <w:rFonts w:hint="eastAsia"/>
        </w:rPr>
      </w:pPr>
      <w:r>
        <w:rPr>
          <w:rFonts w:hint="eastAsia"/>
        </w:rPr>
        <w:fldChar w:fldCharType="begin"/>
      </w:r>
      <w:r>
        <w:rPr>
          <w:rFonts w:hint="eastAsia"/>
        </w:rPr>
        <w:instrText xml:space="preserve"> HYPERLINK \l _Toc13589 </w:instrText>
      </w:r>
      <w:r>
        <w:rPr>
          <w:rFonts w:hint="eastAsia"/>
        </w:rPr>
        <w:fldChar w:fldCharType="separate"/>
      </w:r>
      <w:r>
        <w:rPr>
          <w:rFonts w:hint="eastAsia"/>
          <w:lang w:val="en-US" w:eastAsia="zh-CN"/>
        </w:rPr>
        <w:t>2.5.5特教中心毕业去向落实情况</w:t>
      </w:r>
      <w:r>
        <w:rPr>
          <w:rFonts w:hint="eastAsia"/>
        </w:rPr>
        <w:tab/>
      </w:r>
      <w:r>
        <w:rPr>
          <w:rFonts w:hint="eastAsia"/>
        </w:rPr>
        <w:fldChar w:fldCharType="begin"/>
      </w:r>
      <w:r>
        <w:rPr>
          <w:rFonts w:hint="eastAsia"/>
        </w:rPr>
        <w:instrText xml:space="preserve"> PAGEREF _Toc13589 \h </w:instrText>
      </w:r>
      <w:r>
        <w:rPr>
          <w:rFonts w:hint="eastAsia"/>
        </w:rPr>
        <w:fldChar w:fldCharType="separate"/>
      </w:r>
      <w:r>
        <w:rPr>
          <w:rFonts w:hint="eastAsia"/>
        </w:rPr>
        <w:t>33</w:t>
      </w:r>
      <w:r>
        <w:rPr>
          <w:rFonts w:hint="eastAsia"/>
        </w:rPr>
        <w:fldChar w:fldCharType="end"/>
      </w:r>
      <w:r>
        <w:rPr>
          <w:rFonts w:hint="eastAsia"/>
        </w:rPr>
        <w:fldChar w:fldCharType="end"/>
      </w:r>
    </w:p>
    <w:p w14:paraId="7FB6F762">
      <w:pPr>
        <w:pStyle w:val="18"/>
        <w:tabs>
          <w:tab w:val="right" w:leader="dot" w:pos="8845"/>
        </w:tabs>
        <w:rPr>
          <w:rFonts w:hint="eastAsia"/>
        </w:rPr>
      </w:pPr>
      <w:r>
        <w:rPr>
          <w:rFonts w:hint="eastAsia"/>
        </w:rPr>
        <w:fldChar w:fldCharType="begin"/>
      </w:r>
      <w:r>
        <w:rPr>
          <w:rFonts w:hint="eastAsia"/>
        </w:rPr>
        <w:instrText xml:space="preserve"> HYPERLINK \l _Toc25185 </w:instrText>
      </w:r>
      <w:r>
        <w:rPr>
          <w:rFonts w:hint="eastAsia"/>
        </w:rPr>
        <w:fldChar w:fldCharType="separate"/>
      </w:r>
      <w:r>
        <w:rPr>
          <w:rFonts w:hint="eastAsia"/>
          <w:lang w:val="en-US" w:eastAsia="zh-CN"/>
        </w:rPr>
        <w:t>2.6学生发展</w:t>
      </w:r>
      <w:r>
        <w:rPr>
          <w:rFonts w:hint="eastAsia"/>
        </w:rPr>
        <w:tab/>
      </w:r>
      <w:r>
        <w:rPr>
          <w:rFonts w:hint="eastAsia"/>
        </w:rPr>
        <w:fldChar w:fldCharType="begin"/>
      </w:r>
      <w:r>
        <w:rPr>
          <w:rFonts w:hint="eastAsia"/>
        </w:rPr>
        <w:instrText xml:space="preserve"> PAGEREF _Toc25185 \h </w:instrText>
      </w:r>
      <w:r>
        <w:rPr>
          <w:rFonts w:hint="eastAsia"/>
        </w:rPr>
        <w:fldChar w:fldCharType="separate"/>
      </w:r>
      <w:r>
        <w:rPr>
          <w:rFonts w:hint="eastAsia"/>
        </w:rPr>
        <w:t>34</w:t>
      </w:r>
      <w:r>
        <w:rPr>
          <w:rFonts w:hint="eastAsia"/>
        </w:rPr>
        <w:fldChar w:fldCharType="end"/>
      </w:r>
      <w:r>
        <w:rPr>
          <w:rFonts w:hint="eastAsia"/>
        </w:rPr>
        <w:fldChar w:fldCharType="end"/>
      </w:r>
    </w:p>
    <w:p w14:paraId="23A607E6">
      <w:pPr>
        <w:pStyle w:val="18"/>
        <w:tabs>
          <w:tab w:val="right" w:leader="dot" w:pos="8845"/>
        </w:tabs>
        <w:rPr>
          <w:rFonts w:hint="eastAsia"/>
        </w:rPr>
      </w:pPr>
      <w:r>
        <w:rPr>
          <w:rFonts w:hint="eastAsia"/>
        </w:rPr>
        <w:fldChar w:fldCharType="begin"/>
      </w:r>
      <w:r>
        <w:rPr>
          <w:rFonts w:hint="eastAsia"/>
        </w:rPr>
        <w:instrText xml:space="preserve"> HYPERLINK \l _Toc32691 </w:instrText>
      </w:r>
      <w:r>
        <w:rPr>
          <w:rFonts w:hint="eastAsia"/>
        </w:rPr>
        <w:fldChar w:fldCharType="separate"/>
      </w:r>
      <w:r>
        <w:rPr>
          <w:rFonts w:hint="eastAsia"/>
          <w:lang w:val="en-US" w:eastAsia="zh-CN"/>
        </w:rPr>
        <w:t>2.6.1学生成绩</w:t>
      </w:r>
      <w:r>
        <w:rPr>
          <w:rFonts w:hint="eastAsia"/>
        </w:rPr>
        <w:tab/>
      </w:r>
      <w:r>
        <w:rPr>
          <w:rFonts w:hint="eastAsia"/>
        </w:rPr>
        <w:fldChar w:fldCharType="begin"/>
      </w:r>
      <w:r>
        <w:rPr>
          <w:rFonts w:hint="eastAsia"/>
        </w:rPr>
        <w:instrText xml:space="preserve"> PAGEREF _Toc32691 \h </w:instrText>
      </w:r>
      <w:r>
        <w:rPr>
          <w:rFonts w:hint="eastAsia"/>
        </w:rPr>
        <w:fldChar w:fldCharType="separate"/>
      </w:r>
      <w:r>
        <w:rPr>
          <w:rFonts w:hint="eastAsia"/>
        </w:rPr>
        <w:t>34</w:t>
      </w:r>
      <w:r>
        <w:rPr>
          <w:rFonts w:hint="eastAsia"/>
        </w:rPr>
        <w:fldChar w:fldCharType="end"/>
      </w:r>
      <w:r>
        <w:rPr>
          <w:rFonts w:hint="eastAsia"/>
        </w:rPr>
        <w:fldChar w:fldCharType="end"/>
      </w:r>
    </w:p>
    <w:p w14:paraId="59DD4B34">
      <w:pPr>
        <w:pStyle w:val="18"/>
        <w:tabs>
          <w:tab w:val="right" w:leader="dot" w:pos="8845"/>
        </w:tabs>
        <w:rPr>
          <w:rFonts w:hint="eastAsia"/>
        </w:rPr>
      </w:pPr>
      <w:r>
        <w:rPr>
          <w:rFonts w:hint="eastAsia"/>
        </w:rPr>
        <w:fldChar w:fldCharType="begin"/>
      </w:r>
      <w:r>
        <w:rPr>
          <w:rFonts w:hint="eastAsia"/>
        </w:rPr>
        <w:instrText xml:space="preserve"> HYPERLINK \l _Toc12167 </w:instrText>
      </w:r>
      <w:r>
        <w:rPr>
          <w:rFonts w:hint="eastAsia"/>
        </w:rPr>
        <w:fldChar w:fldCharType="separate"/>
      </w:r>
      <w:r>
        <w:rPr>
          <w:rFonts w:hint="eastAsia"/>
          <w:lang w:val="en-US" w:eastAsia="zh-CN"/>
        </w:rPr>
        <w:t>2.6.2技能大赛</w:t>
      </w:r>
      <w:r>
        <w:rPr>
          <w:rFonts w:hint="eastAsia"/>
        </w:rPr>
        <w:tab/>
      </w:r>
      <w:r>
        <w:rPr>
          <w:rFonts w:hint="eastAsia"/>
        </w:rPr>
        <w:fldChar w:fldCharType="begin"/>
      </w:r>
      <w:r>
        <w:rPr>
          <w:rFonts w:hint="eastAsia"/>
        </w:rPr>
        <w:instrText xml:space="preserve"> PAGEREF _Toc12167 \h </w:instrText>
      </w:r>
      <w:r>
        <w:rPr>
          <w:rFonts w:hint="eastAsia"/>
        </w:rPr>
        <w:fldChar w:fldCharType="separate"/>
      </w:r>
      <w:r>
        <w:rPr>
          <w:rFonts w:hint="eastAsia"/>
        </w:rPr>
        <w:t>35</w:t>
      </w:r>
      <w:r>
        <w:rPr>
          <w:rFonts w:hint="eastAsia"/>
        </w:rPr>
        <w:fldChar w:fldCharType="end"/>
      </w:r>
      <w:r>
        <w:rPr>
          <w:rFonts w:hint="eastAsia"/>
        </w:rPr>
        <w:fldChar w:fldCharType="end"/>
      </w:r>
    </w:p>
    <w:p w14:paraId="58D5517C">
      <w:pPr>
        <w:pStyle w:val="18"/>
        <w:tabs>
          <w:tab w:val="right" w:leader="dot" w:pos="8845"/>
        </w:tabs>
        <w:rPr>
          <w:rFonts w:hint="eastAsia"/>
        </w:rPr>
      </w:pPr>
      <w:r>
        <w:rPr>
          <w:rFonts w:hint="eastAsia"/>
        </w:rPr>
        <w:fldChar w:fldCharType="begin"/>
      </w:r>
      <w:r>
        <w:rPr>
          <w:rFonts w:hint="eastAsia"/>
        </w:rPr>
        <w:instrText xml:space="preserve"> HYPERLINK \l _Toc25179 </w:instrText>
      </w:r>
      <w:r>
        <w:rPr>
          <w:rFonts w:hint="eastAsia"/>
        </w:rPr>
        <w:fldChar w:fldCharType="separate"/>
      </w:r>
      <w:r>
        <w:rPr>
          <w:rFonts w:hint="eastAsia"/>
          <w:lang w:val="en-US" w:eastAsia="zh-CN"/>
        </w:rPr>
        <w:t>2.6.3技工学校学生发展情况</w:t>
      </w:r>
      <w:r>
        <w:rPr>
          <w:rFonts w:hint="eastAsia"/>
        </w:rPr>
        <w:tab/>
      </w:r>
      <w:r>
        <w:rPr>
          <w:rFonts w:hint="eastAsia"/>
        </w:rPr>
        <w:fldChar w:fldCharType="begin"/>
      </w:r>
      <w:r>
        <w:rPr>
          <w:rFonts w:hint="eastAsia"/>
        </w:rPr>
        <w:instrText xml:space="preserve"> PAGEREF _Toc25179 \h </w:instrText>
      </w:r>
      <w:r>
        <w:rPr>
          <w:rFonts w:hint="eastAsia"/>
        </w:rPr>
        <w:fldChar w:fldCharType="separate"/>
      </w:r>
      <w:r>
        <w:rPr>
          <w:rFonts w:hint="eastAsia"/>
        </w:rPr>
        <w:t>35</w:t>
      </w:r>
      <w:r>
        <w:rPr>
          <w:rFonts w:hint="eastAsia"/>
        </w:rPr>
        <w:fldChar w:fldCharType="end"/>
      </w:r>
      <w:r>
        <w:rPr>
          <w:rFonts w:hint="eastAsia"/>
        </w:rPr>
        <w:fldChar w:fldCharType="end"/>
      </w:r>
    </w:p>
    <w:p w14:paraId="3497A786">
      <w:pPr>
        <w:pStyle w:val="18"/>
        <w:tabs>
          <w:tab w:val="right" w:leader="dot" w:pos="8845"/>
        </w:tabs>
        <w:rPr>
          <w:rFonts w:hint="eastAsia"/>
        </w:rPr>
      </w:pPr>
      <w:r>
        <w:rPr>
          <w:rFonts w:hint="eastAsia"/>
        </w:rPr>
        <w:fldChar w:fldCharType="begin"/>
      </w:r>
      <w:r>
        <w:rPr>
          <w:rFonts w:hint="eastAsia"/>
        </w:rPr>
        <w:instrText xml:space="preserve"> HYPERLINK \l _Toc13791 </w:instrText>
      </w:r>
      <w:r>
        <w:rPr>
          <w:rFonts w:hint="eastAsia"/>
        </w:rPr>
        <w:fldChar w:fldCharType="separate"/>
      </w:r>
      <w:r>
        <w:rPr>
          <w:rFonts w:hint="eastAsia"/>
          <w:lang w:val="en-US" w:eastAsia="zh-CN"/>
        </w:rPr>
        <w:t>2.6.2特教中心学生发展情况</w:t>
      </w:r>
      <w:r>
        <w:rPr>
          <w:rFonts w:hint="eastAsia"/>
        </w:rPr>
        <w:tab/>
      </w:r>
      <w:r>
        <w:rPr>
          <w:rFonts w:hint="eastAsia"/>
        </w:rPr>
        <w:fldChar w:fldCharType="begin"/>
      </w:r>
      <w:r>
        <w:rPr>
          <w:rFonts w:hint="eastAsia"/>
        </w:rPr>
        <w:instrText xml:space="preserve"> PAGEREF _Toc13791 \h </w:instrText>
      </w:r>
      <w:r>
        <w:rPr>
          <w:rFonts w:hint="eastAsia"/>
        </w:rPr>
        <w:fldChar w:fldCharType="separate"/>
      </w:r>
      <w:r>
        <w:rPr>
          <w:rFonts w:hint="eastAsia"/>
        </w:rPr>
        <w:t>36</w:t>
      </w:r>
      <w:r>
        <w:rPr>
          <w:rFonts w:hint="eastAsia"/>
        </w:rPr>
        <w:fldChar w:fldCharType="end"/>
      </w:r>
      <w:r>
        <w:rPr>
          <w:rFonts w:hint="eastAsia"/>
        </w:rPr>
        <w:fldChar w:fldCharType="end"/>
      </w:r>
    </w:p>
    <w:p w14:paraId="1C954743">
      <w:pPr>
        <w:pStyle w:val="18"/>
        <w:tabs>
          <w:tab w:val="right" w:leader="dot" w:pos="8845"/>
        </w:tabs>
        <w:rPr>
          <w:rFonts w:hint="eastAsia"/>
        </w:rPr>
      </w:pPr>
      <w:r>
        <w:rPr>
          <w:rFonts w:hint="eastAsia"/>
        </w:rPr>
        <w:fldChar w:fldCharType="begin"/>
      </w:r>
      <w:r>
        <w:rPr>
          <w:rFonts w:hint="eastAsia"/>
        </w:rPr>
        <w:instrText xml:space="preserve"> HYPERLINK \l _Toc7811 </w:instrText>
      </w:r>
      <w:r>
        <w:rPr>
          <w:rFonts w:hint="eastAsia"/>
        </w:rPr>
        <w:fldChar w:fldCharType="separate"/>
      </w:r>
      <w:r>
        <w:rPr>
          <w:rFonts w:hint="eastAsia"/>
          <w:lang w:val="en-US" w:eastAsia="zh-CN"/>
        </w:rPr>
        <w:t>2.7在校体验</w:t>
      </w:r>
      <w:r>
        <w:rPr>
          <w:rFonts w:hint="eastAsia"/>
        </w:rPr>
        <w:tab/>
      </w:r>
      <w:r>
        <w:rPr>
          <w:rFonts w:hint="eastAsia"/>
        </w:rPr>
        <w:fldChar w:fldCharType="begin"/>
      </w:r>
      <w:r>
        <w:rPr>
          <w:rFonts w:hint="eastAsia"/>
        </w:rPr>
        <w:instrText xml:space="preserve"> PAGEREF _Toc7811 \h </w:instrText>
      </w:r>
      <w:r>
        <w:rPr>
          <w:rFonts w:hint="eastAsia"/>
        </w:rPr>
        <w:fldChar w:fldCharType="separate"/>
      </w:r>
      <w:r>
        <w:rPr>
          <w:rFonts w:hint="eastAsia"/>
        </w:rPr>
        <w:t>36</w:t>
      </w:r>
      <w:r>
        <w:rPr>
          <w:rFonts w:hint="eastAsia"/>
        </w:rPr>
        <w:fldChar w:fldCharType="end"/>
      </w:r>
      <w:r>
        <w:rPr>
          <w:rFonts w:hint="eastAsia"/>
        </w:rPr>
        <w:fldChar w:fldCharType="end"/>
      </w:r>
    </w:p>
    <w:p w14:paraId="162BD835">
      <w:pPr>
        <w:pStyle w:val="18"/>
        <w:tabs>
          <w:tab w:val="right" w:leader="dot" w:pos="8845"/>
        </w:tabs>
        <w:rPr>
          <w:rFonts w:hint="eastAsia"/>
        </w:rPr>
      </w:pPr>
      <w:r>
        <w:rPr>
          <w:rFonts w:hint="eastAsia"/>
        </w:rPr>
        <w:fldChar w:fldCharType="begin"/>
      </w:r>
      <w:r>
        <w:rPr>
          <w:rFonts w:hint="eastAsia"/>
        </w:rPr>
        <w:instrText xml:space="preserve"> HYPERLINK \l _Toc1400 </w:instrText>
      </w:r>
      <w:r>
        <w:rPr>
          <w:rFonts w:hint="eastAsia"/>
        </w:rPr>
        <w:fldChar w:fldCharType="separate"/>
      </w:r>
      <w:r>
        <w:rPr>
          <w:rFonts w:hint="eastAsia"/>
          <w:lang w:val="en-US" w:eastAsia="zh-CN"/>
        </w:rPr>
        <w:t>2.7.1文艺展演获奖</w:t>
      </w:r>
      <w:r>
        <w:rPr>
          <w:rFonts w:hint="eastAsia"/>
        </w:rPr>
        <w:tab/>
      </w:r>
      <w:r>
        <w:rPr>
          <w:rFonts w:hint="eastAsia"/>
        </w:rPr>
        <w:fldChar w:fldCharType="begin"/>
      </w:r>
      <w:r>
        <w:rPr>
          <w:rFonts w:hint="eastAsia"/>
        </w:rPr>
        <w:instrText xml:space="preserve"> PAGEREF _Toc1400 \h </w:instrText>
      </w:r>
      <w:r>
        <w:rPr>
          <w:rFonts w:hint="eastAsia"/>
        </w:rPr>
        <w:fldChar w:fldCharType="separate"/>
      </w:r>
      <w:r>
        <w:rPr>
          <w:rFonts w:hint="eastAsia"/>
        </w:rPr>
        <w:t>36</w:t>
      </w:r>
      <w:r>
        <w:rPr>
          <w:rFonts w:hint="eastAsia"/>
        </w:rPr>
        <w:fldChar w:fldCharType="end"/>
      </w:r>
      <w:r>
        <w:rPr>
          <w:rFonts w:hint="eastAsia"/>
        </w:rPr>
        <w:fldChar w:fldCharType="end"/>
      </w:r>
    </w:p>
    <w:p w14:paraId="48E62A90">
      <w:pPr>
        <w:pStyle w:val="18"/>
        <w:tabs>
          <w:tab w:val="right" w:leader="dot" w:pos="8845"/>
        </w:tabs>
        <w:rPr>
          <w:rFonts w:hint="eastAsia"/>
        </w:rPr>
      </w:pPr>
      <w:r>
        <w:rPr>
          <w:rFonts w:hint="eastAsia"/>
        </w:rPr>
        <w:fldChar w:fldCharType="begin"/>
      </w:r>
      <w:r>
        <w:rPr>
          <w:rFonts w:hint="eastAsia"/>
        </w:rPr>
        <w:instrText xml:space="preserve"> HYPERLINK \l _Toc20137 </w:instrText>
      </w:r>
      <w:r>
        <w:rPr>
          <w:rFonts w:hint="eastAsia"/>
        </w:rPr>
        <w:fldChar w:fldCharType="separate"/>
      </w:r>
      <w:r>
        <w:rPr>
          <w:rFonts w:hint="eastAsia"/>
          <w:lang w:val="en-US" w:eastAsia="zh-CN"/>
        </w:rPr>
        <w:t>2.7.2参加社团情况</w:t>
      </w:r>
      <w:r>
        <w:rPr>
          <w:rFonts w:hint="eastAsia"/>
        </w:rPr>
        <w:tab/>
      </w:r>
      <w:r>
        <w:rPr>
          <w:rFonts w:hint="eastAsia"/>
        </w:rPr>
        <w:fldChar w:fldCharType="begin"/>
      </w:r>
      <w:r>
        <w:rPr>
          <w:rFonts w:hint="eastAsia"/>
        </w:rPr>
        <w:instrText xml:space="preserve"> PAGEREF _Toc20137 \h </w:instrText>
      </w:r>
      <w:r>
        <w:rPr>
          <w:rFonts w:hint="eastAsia"/>
        </w:rPr>
        <w:fldChar w:fldCharType="separate"/>
      </w:r>
      <w:r>
        <w:rPr>
          <w:rFonts w:hint="eastAsia"/>
        </w:rPr>
        <w:t>38</w:t>
      </w:r>
      <w:r>
        <w:rPr>
          <w:rFonts w:hint="eastAsia"/>
        </w:rPr>
        <w:fldChar w:fldCharType="end"/>
      </w:r>
      <w:r>
        <w:rPr>
          <w:rFonts w:hint="eastAsia"/>
        </w:rPr>
        <w:fldChar w:fldCharType="end"/>
      </w:r>
    </w:p>
    <w:p w14:paraId="6C87EF4B">
      <w:pPr>
        <w:pStyle w:val="18"/>
        <w:tabs>
          <w:tab w:val="right" w:leader="dot" w:pos="8845"/>
        </w:tabs>
        <w:rPr>
          <w:rFonts w:hint="eastAsia"/>
        </w:rPr>
      </w:pPr>
      <w:r>
        <w:rPr>
          <w:rFonts w:hint="eastAsia"/>
        </w:rPr>
        <w:fldChar w:fldCharType="begin"/>
      </w:r>
      <w:r>
        <w:rPr>
          <w:rFonts w:hint="eastAsia"/>
        </w:rPr>
        <w:instrText xml:space="preserve"> HYPERLINK \l _Toc5848 </w:instrText>
      </w:r>
      <w:r>
        <w:rPr>
          <w:rFonts w:hint="eastAsia"/>
        </w:rPr>
        <w:fldChar w:fldCharType="separate"/>
      </w:r>
      <w:r>
        <w:rPr>
          <w:rFonts w:hint="eastAsia"/>
          <w:lang w:val="en-US" w:eastAsia="zh-CN"/>
        </w:rPr>
        <w:t>2.7.3“一站式”社区建设</w:t>
      </w:r>
      <w:r>
        <w:rPr>
          <w:rFonts w:hint="eastAsia"/>
        </w:rPr>
        <w:tab/>
      </w:r>
      <w:r>
        <w:rPr>
          <w:rFonts w:hint="eastAsia"/>
        </w:rPr>
        <w:fldChar w:fldCharType="begin"/>
      </w:r>
      <w:r>
        <w:rPr>
          <w:rFonts w:hint="eastAsia"/>
        </w:rPr>
        <w:instrText xml:space="preserve"> PAGEREF _Toc5848 \h </w:instrText>
      </w:r>
      <w:r>
        <w:rPr>
          <w:rFonts w:hint="eastAsia"/>
        </w:rPr>
        <w:fldChar w:fldCharType="separate"/>
      </w:r>
      <w:r>
        <w:rPr>
          <w:rFonts w:hint="eastAsia"/>
        </w:rPr>
        <w:t>39</w:t>
      </w:r>
      <w:r>
        <w:rPr>
          <w:rFonts w:hint="eastAsia"/>
        </w:rPr>
        <w:fldChar w:fldCharType="end"/>
      </w:r>
      <w:r>
        <w:rPr>
          <w:rFonts w:hint="eastAsia"/>
        </w:rPr>
        <w:fldChar w:fldCharType="end"/>
      </w:r>
    </w:p>
    <w:p w14:paraId="2970C29C">
      <w:pPr>
        <w:pStyle w:val="18"/>
        <w:tabs>
          <w:tab w:val="right" w:leader="dot" w:pos="8845"/>
        </w:tabs>
        <w:rPr>
          <w:rFonts w:hint="eastAsia"/>
        </w:rPr>
      </w:pPr>
      <w:r>
        <w:rPr>
          <w:rFonts w:hint="eastAsia"/>
        </w:rPr>
        <w:fldChar w:fldCharType="begin"/>
      </w:r>
      <w:r>
        <w:rPr>
          <w:rFonts w:hint="eastAsia"/>
        </w:rPr>
        <w:instrText xml:space="preserve"> HYPERLINK \l _Toc14640 </w:instrText>
      </w:r>
      <w:r>
        <w:rPr>
          <w:rFonts w:hint="eastAsia"/>
        </w:rPr>
        <w:fldChar w:fldCharType="separate"/>
      </w:r>
      <w:r>
        <w:rPr>
          <w:rFonts w:hint="eastAsia"/>
          <w:lang w:val="en-US" w:eastAsia="zh-CN"/>
        </w:rPr>
        <w:t>2.7.4心理健康教育</w:t>
      </w:r>
      <w:r>
        <w:rPr>
          <w:rFonts w:hint="eastAsia"/>
        </w:rPr>
        <w:tab/>
      </w:r>
      <w:r>
        <w:rPr>
          <w:rFonts w:hint="eastAsia"/>
        </w:rPr>
        <w:fldChar w:fldCharType="begin"/>
      </w:r>
      <w:r>
        <w:rPr>
          <w:rFonts w:hint="eastAsia"/>
        </w:rPr>
        <w:instrText xml:space="preserve"> PAGEREF _Toc14640 \h </w:instrText>
      </w:r>
      <w:r>
        <w:rPr>
          <w:rFonts w:hint="eastAsia"/>
        </w:rPr>
        <w:fldChar w:fldCharType="separate"/>
      </w:r>
      <w:r>
        <w:rPr>
          <w:rFonts w:hint="eastAsia"/>
        </w:rPr>
        <w:t>40</w:t>
      </w:r>
      <w:r>
        <w:rPr>
          <w:rFonts w:hint="eastAsia"/>
        </w:rPr>
        <w:fldChar w:fldCharType="end"/>
      </w:r>
      <w:r>
        <w:rPr>
          <w:rFonts w:hint="eastAsia"/>
        </w:rPr>
        <w:fldChar w:fldCharType="end"/>
      </w:r>
    </w:p>
    <w:p w14:paraId="290E5806">
      <w:pPr>
        <w:pStyle w:val="18"/>
        <w:tabs>
          <w:tab w:val="right" w:leader="dot" w:pos="8845"/>
        </w:tabs>
        <w:rPr>
          <w:rFonts w:hint="eastAsia"/>
        </w:rPr>
      </w:pPr>
      <w:r>
        <w:rPr>
          <w:rFonts w:hint="eastAsia"/>
        </w:rPr>
        <w:fldChar w:fldCharType="begin"/>
      </w:r>
      <w:r>
        <w:rPr>
          <w:rFonts w:hint="eastAsia"/>
        </w:rPr>
        <w:instrText xml:space="preserve"> HYPERLINK \l _Toc28394 </w:instrText>
      </w:r>
      <w:r>
        <w:rPr>
          <w:rFonts w:hint="eastAsia"/>
        </w:rPr>
        <w:fldChar w:fldCharType="separate"/>
      </w:r>
      <w:r>
        <w:rPr>
          <w:rFonts w:hint="eastAsia"/>
          <w:lang w:val="en-US" w:eastAsia="zh-CN"/>
        </w:rPr>
        <w:t>2.7.4技工学校在校体验心理情况</w:t>
      </w:r>
      <w:r>
        <w:rPr>
          <w:rFonts w:hint="eastAsia"/>
        </w:rPr>
        <w:tab/>
      </w:r>
      <w:r>
        <w:rPr>
          <w:rFonts w:hint="eastAsia"/>
        </w:rPr>
        <w:fldChar w:fldCharType="begin"/>
      </w:r>
      <w:r>
        <w:rPr>
          <w:rFonts w:hint="eastAsia"/>
        </w:rPr>
        <w:instrText xml:space="preserve"> PAGEREF _Toc28394 \h </w:instrText>
      </w:r>
      <w:r>
        <w:rPr>
          <w:rFonts w:hint="eastAsia"/>
        </w:rPr>
        <w:fldChar w:fldCharType="separate"/>
      </w:r>
      <w:r>
        <w:rPr>
          <w:rFonts w:hint="eastAsia"/>
        </w:rPr>
        <w:t>41</w:t>
      </w:r>
      <w:r>
        <w:rPr>
          <w:rFonts w:hint="eastAsia"/>
        </w:rPr>
        <w:fldChar w:fldCharType="end"/>
      </w:r>
      <w:r>
        <w:rPr>
          <w:rFonts w:hint="eastAsia"/>
        </w:rPr>
        <w:fldChar w:fldCharType="end"/>
      </w:r>
    </w:p>
    <w:p w14:paraId="6A61B887">
      <w:pPr>
        <w:pStyle w:val="18"/>
        <w:tabs>
          <w:tab w:val="right" w:leader="dot" w:pos="8845"/>
        </w:tabs>
        <w:rPr>
          <w:rFonts w:hint="eastAsia"/>
        </w:rPr>
      </w:pPr>
      <w:r>
        <w:rPr>
          <w:rFonts w:hint="eastAsia"/>
        </w:rPr>
        <w:fldChar w:fldCharType="begin"/>
      </w:r>
      <w:r>
        <w:rPr>
          <w:rFonts w:hint="eastAsia"/>
        </w:rPr>
        <w:instrText xml:space="preserve"> HYPERLINK \l _Toc3878 </w:instrText>
      </w:r>
      <w:r>
        <w:rPr>
          <w:rFonts w:hint="eastAsia"/>
        </w:rPr>
        <w:fldChar w:fldCharType="separate"/>
      </w:r>
      <w:r>
        <w:rPr>
          <w:rFonts w:hint="eastAsia"/>
          <w:lang w:val="en-US" w:eastAsia="zh-CN"/>
        </w:rPr>
        <w:t>2.7.4特教中心在校体验心理情况</w:t>
      </w:r>
      <w:r>
        <w:rPr>
          <w:rFonts w:hint="eastAsia"/>
        </w:rPr>
        <w:tab/>
      </w:r>
      <w:r>
        <w:rPr>
          <w:rFonts w:hint="eastAsia"/>
        </w:rPr>
        <w:fldChar w:fldCharType="begin"/>
      </w:r>
      <w:r>
        <w:rPr>
          <w:rFonts w:hint="eastAsia"/>
        </w:rPr>
        <w:instrText xml:space="preserve"> PAGEREF _Toc3878 \h </w:instrText>
      </w:r>
      <w:r>
        <w:rPr>
          <w:rFonts w:hint="eastAsia"/>
        </w:rPr>
        <w:fldChar w:fldCharType="separate"/>
      </w:r>
      <w:r>
        <w:rPr>
          <w:rFonts w:hint="eastAsia"/>
        </w:rPr>
        <w:t>42</w:t>
      </w:r>
      <w:r>
        <w:rPr>
          <w:rFonts w:hint="eastAsia"/>
        </w:rPr>
        <w:fldChar w:fldCharType="end"/>
      </w:r>
      <w:r>
        <w:rPr>
          <w:rFonts w:hint="eastAsia"/>
        </w:rPr>
        <w:fldChar w:fldCharType="end"/>
      </w:r>
    </w:p>
    <w:p w14:paraId="7CAD5513">
      <w:pPr>
        <w:pStyle w:val="18"/>
        <w:tabs>
          <w:tab w:val="right" w:leader="dot" w:pos="8845"/>
        </w:tabs>
        <w:rPr>
          <w:rFonts w:hint="eastAsia"/>
        </w:rPr>
      </w:pPr>
      <w:r>
        <w:rPr>
          <w:rFonts w:hint="eastAsia"/>
        </w:rPr>
        <w:fldChar w:fldCharType="begin"/>
      </w:r>
      <w:r>
        <w:rPr>
          <w:rFonts w:hint="eastAsia"/>
        </w:rPr>
        <w:instrText xml:space="preserve"> HYPERLINK \l _Toc25383 </w:instrText>
      </w:r>
      <w:r>
        <w:rPr>
          <w:rFonts w:hint="eastAsia"/>
        </w:rPr>
        <w:fldChar w:fldCharType="separate"/>
      </w:r>
      <w:r>
        <w:rPr>
          <w:rFonts w:hint="eastAsia"/>
          <w:lang w:val="en-US" w:eastAsia="zh-CN"/>
        </w:rPr>
        <w:t>3</w:t>
      </w:r>
      <w:r>
        <w:rPr>
          <w:rFonts w:hint="eastAsia"/>
        </w:rPr>
        <w:t>.产教融合</w:t>
      </w:r>
      <w:r>
        <w:rPr>
          <w:rFonts w:hint="eastAsia"/>
        </w:rPr>
        <w:tab/>
      </w:r>
      <w:r>
        <w:rPr>
          <w:rFonts w:hint="eastAsia"/>
        </w:rPr>
        <w:fldChar w:fldCharType="begin"/>
      </w:r>
      <w:r>
        <w:rPr>
          <w:rFonts w:hint="eastAsia"/>
        </w:rPr>
        <w:instrText xml:space="preserve"> PAGEREF _Toc25383 \h </w:instrText>
      </w:r>
      <w:r>
        <w:rPr>
          <w:rFonts w:hint="eastAsia"/>
        </w:rPr>
        <w:fldChar w:fldCharType="separate"/>
      </w:r>
      <w:r>
        <w:rPr>
          <w:rFonts w:hint="eastAsia"/>
        </w:rPr>
        <w:t>42</w:t>
      </w:r>
      <w:r>
        <w:rPr>
          <w:rFonts w:hint="eastAsia"/>
        </w:rPr>
        <w:fldChar w:fldCharType="end"/>
      </w:r>
      <w:r>
        <w:rPr>
          <w:rFonts w:hint="eastAsia"/>
        </w:rPr>
        <w:fldChar w:fldCharType="end"/>
      </w:r>
    </w:p>
    <w:p w14:paraId="436C19CF">
      <w:pPr>
        <w:pStyle w:val="18"/>
        <w:tabs>
          <w:tab w:val="right" w:leader="dot" w:pos="8845"/>
        </w:tabs>
        <w:rPr>
          <w:rFonts w:hint="eastAsia"/>
        </w:rPr>
      </w:pPr>
      <w:r>
        <w:rPr>
          <w:rFonts w:hint="eastAsia"/>
        </w:rPr>
        <w:fldChar w:fldCharType="begin"/>
      </w:r>
      <w:r>
        <w:rPr>
          <w:rFonts w:hint="eastAsia"/>
        </w:rPr>
        <w:instrText xml:space="preserve"> HYPERLINK \l _Toc7738 </w:instrText>
      </w:r>
      <w:r>
        <w:rPr>
          <w:rFonts w:hint="eastAsia"/>
        </w:rPr>
        <w:fldChar w:fldCharType="separate"/>
      </w:r>
      <w:r>
        <w:rPr>
          <w:rFonts w:hint="eastAsia"/>
          <w:lang w:val="en-US" w:eastAsia="zh-CN"/>
        </w:rPr>
        <w:t>3.1“两翼”情况</w:t>
      </w:r>
      <w:r>
        <w:rPr>
          <w:rFonts w:hint="eastAsia"/>
        </w:rPr>
        <w:tab/>
      </w:r>
      <w:r>
        <w:rPr>
          <w:rFonts w:hint="eastAsia"/>
        </w:rPr>
        <w:fldChar w:fldCharType="begin"/>
      </w:r>
      <w:r>
        <w:rPr>
          <w:rFonts w:hint="eastAsia"/>
        </w:rPr>
        <w:instrText xml:space="preserve"> PAGEREF _Toc7738 \h </w:instrText>
      </w:r>
      <w:r>
        <w:rPr>
          <w:rFonts w:hint="eastAsia"/>
        </w:rPr>
        <w:fldChar w:fldCharType="separate"/>
      </w:r>
      <w:r>
        <w:rPr>
          <w:rFonts w:hint="eastAsia"/>
        </w:rPr>
        <w:t>43</w:t>
      </w:r>
      <w:r>
        <w:rPr>
          <w:rFonts w:hint="eastAsia"/>
        </w:rPr>
        <w:fldChar w:fldCharType="end"/>
      </w:r>
      <w:r>
        <w:rPr>
          <w:rFonts w:hint="eastAsia"/>
        </w:rPr>
        <w:fldChar w:fldCharType="end"/>
      </w:r>
    </w:p>
    <w:p w14:paraId="0459E1C9">
      <w:pPr>
        <w:pStyle w:val="18"/>
        <w:tabs>
          <w:tab w:val="right" w:leader="dot" w:pos="8845"/>
        </w:tabs>
        <w:rPr>
          <w:rFonts w:hint="eastAsia"/>
        </w:rPr>
      </w:pPr>
      <w:r>
        <w:rPr>
          <w:rFonts w:hint="eastAsia"/>
        </w:rPr>
        <w:fldChar w:fldCharType="begin"/>
      </w:r>
      <w:r>
        <w:rPr>
          <w:rFonts w:hint="eastAsia"/>
        </w:rPr>
        <w:instrText xml:space="preserve"> HYPERLINK \l _Toc2096 </w:instrText>
      </w:r>
      <w:r>
        <w:rPr>
          <w:rFonts w:hint="eastAsia"/>
        </w:rPr>
        <w:fldChar w:fldCharType="separate"/>
      </w:r>
      <w:r>
        <w:rPr>
          <w:rFonts w:hint="eastAsia"/>
          <w:lang w:val="en-US" w:eastAsia="zh-CN"/>
        </w:rPr>
        <w:t>3.2校企合作</w:t>
      </w:r>
      <w:r>
        <w:rPr>
          <w:rFonts w:hint="eastAsia"/>
        </w:rPr>
        <w:tab/>
      </w:r>
      <w:r>
        <w:rPr>
          <w:rFonts w:hint="eastAsia"/>
        </w:rPr>
        <w:fldChar w:fldCharType="begin"/>
      </w:r>
      <w:r>
        <w:rPr>
          <w:rFonts w:hint="eastAsia"/>
        </w:rPr>
        <w:instrText xml:space="preserve"> PAGEREF _Toc2096 \h </w:instrText>
      </w:r>
      <w:r>
        <w:rPr>
          <w:rFonts w:hint="eastAsia"/>
        </w:rPr>
        <w:fldChar w:fldCharType="separate"/>
      </w:r>
      <w:r>
        <w:rPr>
          <w:rFonts w:hint="eastAsia"/>
        </w:rPr>
        <w:t>43</w:t>
      </w:r>
      <w:r>
        <w:rPr>
          <w:rFonts w:hint="eastAsia"/>
        </w:rPr>
        <w:fldChar w:fldCharType="end"/>
      </w:r>
      <w:r>
        <w:rPr>
          <w:rFonts w:hint="eastAsia"/>
        </w:rPr>
        <w:fldChar w:fldCharType="end"/>
      </w:r>
    </w:p>
    <w:p w14:paraId="1110CAA9">
      <w:pPr>
        <w:pStyle w:val="18"/>
        <w:tabs>
          <w:tab w:val="right" w:leader="dot" w:pos="8845"/>
        </w:tabs>
        <w:rPr>
          <w:rFonts w:hint="eastAsia"/>
        </w:rPr>
      </w:pPr>
      <w:r>
        <w:rPr>
          <w:rFonts w:hint="eastAsia"/>
        </w:rPr>
        <w:fldChar w:fldCharType="begin"/>
      </w:r>
      <w:r>
        <w:rPr>
          <w:rFonts w:hint="eastAsia"/>
        </w:rPr>
        <w:instrText xml:space="preserve"> HYPERLINK \l _Toc30574 </w:instrText>
      </w:r>
      <w:r>
        <w:rPr>
          <w:rFonts w:hint="eastAsia"/>
        </w:rPr>
        <w:fldChar w:fldCharType="separate"/>
      </w:r>
      <w:r>
        <w:rPr>
          <w:rFonts w:hint="eastAsia"/>
          <w:lang w:val="en-US" w:eastAsia="zh-CN"/>
        </w:rPr>
        <w:t>3.3实习实训</w:t>
      </w:r>
      <w:r>
        <w:rPr>
          <w:rFonts w:hint="eastAsia"/>
        </w:rPr>
        <w:tab/>
      </w:r>
      <w:r>
        <w:rPr>
          <w:rFonts w:hint="eastAsia"/>
        </w:rPr>
        <w:fldChar w:fldCharType="begin"/>
      </w:r>
      <w:r>
        <w:rPr>
          <w:rFonts w:hint="eastAsia"/>
        </w:rPr>
        <w:instrText xml:space="preserve"> PAGEREF _Toc30574 \h </w:instrText>
      </w:r>
      <w:r>
        <w:rPr>
          <w:rFonts w:hint="eastAsia"/>
        </w:rPr>
        <w:fldChar w:fldCharType="separate"/>
      </w:r>
      <w:r>
        <w:rPr>
          <w:rFonts w:hint="eastAsia"/>
        </w:rPr>
        <w:t>44</w:t>
      </w:r>
      <w:r>
        <w:rPr>
          <w:rFonts w:hint="eastAsia"/>
        </w:rPr>
        <w:fldChar w:fldCharType="end"/>
      </w:r>
      <w:r>
        <w:rPr>
          <w:rFonts w:hint="eastAsia"/>
        </w:rPr>
        <w:fldChar w:fldCharType="end"/>
      </w:r>
    </w:p>
    <w:p w14:paraId="7ACCF119">
      <w:pPr>
        <w:pStyle w:val="18"/>
        <w:tabs>
          <w:tab w:val="right" w:leader="dot" w:pos="8845"/>
        </w:tabs>
        <w:rPr>
          <w:rFonts w:hint="eastAsia"/>
        </w:rPr>
      </w:pPr>
      <w:r>
        <w:rPr>
          <w:rFonts w:hint="eastAsia"/>
        </w:rPr>
        <w:fldChar w:fldCharType="begin"/>
      </w:r>
      <w:r>
        <w:rPr>
          <w:rFonts w:hint="eastAsia"/>
        </w:rPr>
        <w:instrText xml:space="preserve"> HYPERLINK \l _Toc26178 </w:instrText>
      </w:r>
      <w:r>
        <w:rPr>
          <w:rFonts w:hint="eastAsia"/>
        </w:rPr>
        <w:fldChar w:fldCharType="separate"/>
      </w:r>
      <w:r>
        <w:rPr>
          <w:rFonts w:hint="eastAsia"/>
          <w:lang w:val="en-US" w:eastAsia="zh-CN"/>
        </w:rPr>
        <w:t>3.4双师共培</w:t>
      </w:r>
      <w:r>
        <w:rPr>
          <w:rFonts w:hint="eastAsia"/>
        </w:rPr>
        <w:tab/>
      </w:r>
      <w:r>
        <w:rPr>
          <w:rFonts w:hint="eastAsia"/>
        </w:rPr>
        <w:fldChar w:fldCharType="begin"/>
      </w:r>
      <w:r>
        <w:rPr>
          <w:rFonts w:hint="eastAsia"/>
        </w:rPr>
        <w:instrText xml:space="preserve"> PAGEREF _Toc26178 \h </w:instrText>
      </w:r>
      <w:r>
        <w:rPr>
          <w:rFonts w:hint="eastAsia"/>
        </w:rPr>
        <w:fldChar w:fldCharType="separate"/>
      </w:r>
      <w:r>
        <w:rPr>
          <w:rFonts w:hint="eastAsia"/>
        </w:rPr>
        <w:t>46</w:t>
      </w:r>
      <w:r>
        <w:rPr>
          <w:rFonts w:hint="eastAsia"/>
        </w:rPr>
        <w:fldChar w:fldCharType="end"/>
      </w:r>
      <w:r>
        <w:rPr>
          <w:rFonts w:hint="eastAsia"/>
        </w:rPr>
        <w:fldChar w:fldCharType="end"/>
      </w:r>
    </w:p>
    <w:p w14:paraId="05377427">
      <w:pPr>
        <w:pStyle w:val="18"/>
        <w:tabs>
          <w:tab w:val="right" w:leader="dot" w:pos="8845"/>
        </w:tabs>
        <w:rPr>
          <w:rFonts w:hint="eastAsia"/>
        </w:rPr>
      </w:pPr>
      <w:r>
        <w:rPr>
          <w:rFonts w:hint="eastAsia"/>
        </w:rPr>
        <w:fldChar w:fldCharType="begin"/>
      </w:r>
      <w:r>
        <w:rPr>
          <w:rFonts w:hint="eastAsia"/>
        </w:rPr>
        <w:instrText xml:space="preserve"> HYPERLINK \l _Toc22600 </w:instrText>
      </w:r>
      <w:r>
        <w:rPr>
          <w:rFonts w:hint="eastAsia"/>
        </w:rPr>
        <w:fldChar w:fldCharType="separate"/>
      </w:r>
      <w:r>
        <w:rPr>
          <w:rFonts w:hint="eastAsia"/>
          <w:lang w:val="en-US" w:eastAsia="zh-CN"/>
        </w:rPr>
        <w:t>4.服务贡献</w:t>
      </w:r>
      <w:r>
        <w:rPr>
          <w:rFonts w:hint="eastAsia"/>
        </w:rPr>
        <w:tab/>
      </w:r>
      <w:r>
        <w:rPr>
          <w:rFonts w:hint="eastAsia"/>
        </w:rPr>
        <w:fldChar w:fldCharType="begin"/>
      </w:r>
      <w:r>
        <w:rPr>
          <w:rFonts w:hint="eastAsia"/>
        </w:rPr>
        <w:instrText xml:space="preserve"> PAGEREF _Toc22600 \h </w:instrText>
      </w:r>
      <w:r>
        <w:rPr>
          <w:rFonts w:hint="eastAsia"/>
        </w:rPr>
        <w:fldChar w:fldCharType="separate"/>
      </w:r>
      <w:r>
        <w:rPr>
          <w:rFonts w:hint="eastAsia"/>
        </w:rPr>
        <w:t>47</w:t>
      </w:r>
      <w:r>
        <w:rPr>
          <w:rFonts w:hint="eastAsia"/>
        </w:rPr>
        <w:fldChar w:fldCharType="end"/>
      </w:r>
      <w:r>
        <w:rPr>
          <w:rFonts w:hint="eastAsia"/>
        </w:rPr>
        <w:fldChar w:fldCharType="end"/>
      </w:r>
    </w:p>
    <w:p w14:paraId="0D3A712F">
      <w:pPr>
        <w:pStyle w:val="18"/>
        <w:tabs>
          <w:tab w:val="right" w:leader="dot" w:pos="8845"/>
        </w:tabs>
        <w:rPr>
          <w:rFonts w:hint="eastAsia"/>
        </w:rPr>
      </w:pPr>
      <w:r>
        <w:rPr>
          <w:rFonts w:hint="eastAsia"/>
        </w:rPr>
        <w:fldChar w:fldCharType="begin"/>
      </w:r>
      <w:r>
        <w:rPr>
          <w:rFonts w:hint="eastAsia"/>
        </w:rPr>
        <w:instrText xml:space="preserve"> HYPERLINK \l _Toc10785 </w:instrText>
      </w:r>
      <w:r>
        <w:rPr>
          <w:rFonts w:hint="eastAsia"/>
        </w:rPr>
        <w:fldChar w:fldCharType="separate"/>
      </w:r>
      <w:r>
        <w:rPr>
          <w:rFonts w:hint="eastAsia"/>
          <w:lang w:val="en-US" w:eastAsia="zh-CN"/>
        </w:rPr>
        <w:t>4.1服务行业企业</w:t>
      </w:r>
      <w:r>
        <w:rPr>
          <w:rFonts w:hint="eastAsia"/>
        </w:rPr>
        <w:tab/>
      </w:r>
      <w:r>
        <w:rPr>
          <w:rFonts w:hint="eastAsia"/>
        </w:rPr>
        <w:fldChar w:fldCharType="begin"/>
      </w:r>
      <w:r>
        <w:rPr>
          <w:rFonts w:hint="eastAsia"/>
        </w:rPr>
        <w:instrText xml:space="preserve"> PAGEREF _Toc10785 \h </w:instrText>
      </w:r>
      <w:r>
        <w:rPr>
          <w:rFonts w:hint="eastAsia"/>
        </w:rPr>
        <w:fldChar w:fldCharType="separate"/>
      </w:r>
      <w:r>
        <w:rPr>
          <w:rFonts w:hint="eastAsia"/>
        </w:rPr>
        <w:t>47</w:t>
      </w:r>
      <w:r>
        <w:rPr>
          <w:rFonts w:hint="eastAsia"/>
        </w:rPr>
        <w:fldChar w:fldCharType="end"/>
      </w:r>
      <w:r>
        <w:rPr>
          <w:rFonts w:hint="eastAsia"/>
        </w:rPr>
        <w:fldChar w:fldCharType="end"/>
      </w:r>
    </w:p>
    <w:p w14:paraId="2CDD4806">
      <w:pPr>
        <w:pStyle w:val="18"/>
        <w:tabs>
          <w:tab w:val="right" w:leader="dot" w:pos="8845"/>
        </w:tabs>
        <w:rPr>
          <w:rFonts w:hint="eastAsia"/>
        </w:rPr>
      </w:pPr>
      <w:r>
        <w:rPr>
          <w:rFonts w:hint="eastAsia"/>
        </w:rPr>
        <w:fldChar w:fldCharType="begin"/>
      </w:r>
      <w:r>
        <w:rPr>
          <w:rFonts w:hint="eastAsia"/>
        </w:rPr>
        <w:instrText xml:space="preserve"> HYPERLINK \l _Toc21130 </w:instrText>
      </w:r>
      <w:r>
        <w:rPr>
          <w:rFonts w:hint="eastAsia"/>
        </w:rPr>
        <w:fldChar w:fldCharType="separate"/>
      </w:r>
      <w:r>
        <w:rPr>
          <w:rFonts w:hint="eastAsia"/>
          <w:lang w:val="en-US" w:eastAsia="zh-CN"/>
        </w:rPr>
        <w:t>4.2服务地方发展</w:t>
      </w:r>
      <w:r>
        <w:rPr>
          <w:rFonts w:hint="eastAsia"/>
        </w:rPr>
        <w:tab/>
      </w:r>
      <w:r>
        <w:rPr>
          <w:rFonts w:hint="eastAsia"/>
        </w:rPr>
        <w:fldChar w:fldCharType="begin"/>
      </w:r>
      <w:r>
        <w:rPr>
          <w:rFonts w:hint="eastAsia"/>
        </w:rPr>
        <w:instrText xml:space="preserve"> PAGEREF _Toc21130 \h </w:instrText>
      </w:r>
      <w:r>
        <w:rPr>
          <w:rFonts w:hint="eastAsia"/>
        </w:rPr>
        <w:fldChar w:fldCharType="separate"/>
      </w:r>
      <w:r>
        <w:rPr>
          <w:rFonts w:hint="eastAsia"/>
        </w:rPr>
        <w:t>49</w:t>
      </w:r>
      <w:r>
        <w:rPr>
          <w:rFonts w:hint="eastAsia"/>
        </w:rPr>
        <w:fldChar w:fldCharType="end"/>
      </w:r>
      <w:r>
        <w:rPr>
          <w:rFonts w:hint="eastAsia"/>
        </w:rPr>
        <w:fldChar w:fldCharType="end"/>
      </w:r>
    </w:p>
    <w:p w14:paraId="23F03E6D">
      <w:pPr>
        <w:pStyle w:val="18"/>
        <w:tabs>
          <w:tab w:val="right" w:leader="dot" w:pos="8845"/>
        </w:tabs>
        <w:rPr>
          <w:rFonts w:hint="eastAsia"/>
        </w:rPr>
      </w:pPr>
      <w:r>
        <w:rPr>
          <w:rFonts w:hint="eastAsia"/>
        </w:rPr>
        <w:fldChar w:fldCharType="begin"/>
      </w:r>
      <w:r>
        <w:rPr>
          <w:rFonts w:hint="eastAsia"/>
        </w:rPr>
        <w:instrText xml:space="preserve"> HYPERLINK \l _Toc32357 </w:instrText>
      </w:r>
      <w:r>
        <w:rPr>
          <w:rFonts w:hint="eastAsia"/>
        </w:rPr>
        <w:fldChar w:fldCharType="separate"/>
      </w:r>
      <w:r>
        <w:rPr>
          <w:rFonts w:hint="eastAsia"/>
          <w:lang w:val="en-US" w:eastAsia="zh-CN"/>
        </w:rPr>
        <w:t>4.3服务国家战略</w:t>
      </w:r>
      <w:r>
        <w:rPr>
          <w:rFonts w:hint="eastAsia"/>
        </w:rPr>
        <w:tab/>
      </w:r>
      <w:r>
        <w:rPr>
          <w:rFonts w:hint="eastAsia"/>
        </w:rPr>
        <w:fldChar w:fldCharType="begin"/>
      </w:r>
      <w:r>
        <w:rPr>
          <w:rFonts w:hint="eastAsia"/>
        </w:rPr>
        <w:instrText xml:space="preserve"> PAGEREF _Toc32357 \h </w:instrText>
      </w:r>
      <w:r>
        <w:rPr>
          <w:rFonts w:hint="eastAsia"/>
        </w:rPr>
        <w:fldChar w:fldCharType="separate"/>
      </w:r>
      <w:r>
        <w:rPr>
          <w:rFonts w:hint="eastAsia"/>
        </w:rPr>
        <w:t>50</w:t>
      </w:r>
      <w:r>
        <w:rPr>
          <w:rFonts w:hint="eastAsia"/>
        </w:rPr>
        <w:fldChar w:fldCharType="end"/>
      </w:r>
      <w:r>
        <w:rPr>
          <w:rFonts w:hint="eastAsia"/>
        </w:rPr>
        <w:fldChar w:fldCharType="end"/>
      </w:r>
    </w:p>
    <w:p w14:paraId="54E1DC01">
      <w:pPr>
        <w:pStyle w:val="18"/>
        <w:tabs>
          <w:tab w:val="right" w:leader="dot" w:pos="8845"/>
        </w:tabs>
        <w:rPr>
          <w:rFonts w:hint="eastAsia"/>
        </w:rPr>
      </w:pPr>
      <w:r>
        <w:rPr>
          <w:rFonts w:hint="eastAsia"/>
        </w:rPr>
        <w:fldChar w:fldCharType="begin"/>
      </w:r>
      <w:r>
        <w:rPr>
          <w:rFonts w:hint="eastAsia"/>
        </w:rPr>
        <w:instrText xml:space="preserve"> HYPERLINK \l _Toc20159 </w:instrText>
      </w:r>
      <w:r>
        <w:rPr>
          <w:rFonts w:hint="eastAsia"/>
        </w:rPr>
        <w:fldChar w:fldCharType="separate"/>
      </w:r>
      <w:r>
        <w:rPr>
          <w:rFonts w:hint="eastAsia"/>
          <w:lang w:val="en-US" w:eastAsia="zh-CN"/>
        </w:rPr>
        <w:t>5</w:t>
      </w:r>
      <w:r>
        <w:rPr>
          <w:rFonts w:hint="eastAsia"/>
        </w:rPr>
        <w:t>.文化传承</w:t>
      </w:r>
      <w:r>
        <w:rPr>
          <w:rFonts w:hint="eastAsia"/>
        </w:rPr>
        <w:tab/>
      </w:r>
      <w:r>
        <w:rPr>
          <w:rFonts w:hint="eastAsia"/>
        </w:rPr>
        <w:fldChar w:fldCharType="begin"/>
      </w:r>
      <w:r>
        <w:rPr>
          <w:rFonts w:hint="eastAsia"/>
        </w:rPr>
        <w:instrText xml:space="preserve"> PAGEREF _Toc20159 \h </w:instrText>
      </w:r>
      <w:r>
        <w:rPr>
          <w:rFonts w:hint="eastAsia"/>
        </w:rPr>
        <w:fldChar w:fldCharType="separate"/>
      </w:r>
      <w:r>
        <w:rPr>
          <w:rFonts w:hint="eastAsia"/>
        </w:rPr>
        <w:t>52</w:t>
      </w:r>
      <w:r>
        <w:rPr>
          <w:rFonts w:hint="eastAsia"/>
        </w:rPr>
        <w:fldChar w:fldCharType="end"/>
      </w:r>
      <w:r>
        <w:rPr>
          <w:rFonts w:hint="eastAsia"/>
        </w:rPr>
        <w:fldChar w:fldCharType="end"/>
      </w:r>
    </w:p>
    <w:p w14:paraId="17F4E719">
      <w:pPr>
        <w:pStyle w:val="18"/>
        <w:tabs>
          <w:tab w:val="right" w:leader="dot" w:pos="8845"/>
        </w:tabs>
        <w:rPr>
          <w:rFonts w:hint="eastAsia"/>
        </w:rPr>
      </w:pPr>
      <w:r>
        <w:rPr>
          <w:rFonts w:hint="eastAsia"/>
        </w:rPr>
        <w:fldChar w:fldCharType="begin"/>
      </w:r>
      <w:r>
        <w:rPr>
          <w:rFonts w:hint="eastAsia"/>
        </w:rPr>
        <w:instrText xml:space="preserve"> HYPERLINK \l _Toc22624 </w:instrText>
      </w:r>
      <w:r>
        <w:rPr>
          <w:rFonts w:hint="eastAsia"/>
        </w:rPr>
        <w:fldChar w:fldCharType="separate"/>
      </w:r>
      <w:r>
        <w:rPr>
          <w:rFonts w:hint="eastAsia"/>
          <w:lang w:val="en-US" w:eastAsia="zh-CN"/>
        </w:rPr>
        <w:t>5.1传承工匠精神</w:t>
      </w:r>
      <w:r>
        <w:rPr>
          <w:rFonts w:hint="eastAsia"/>
        </w:rPr>
        <w:tab/>
      </w:r>
      <w:r>
        <w:rPr>
          <w:rFonts w:hint="eastAsia"/>
        </w:rPr>
        <w:fldChar w:fldCharType="begin"/>
      </w:r>
      <w:r>
        <w:rPr>
          <w:rFonts w:hint="eastAsia"/>
        </w:rPr>
        <w:instrText xml:space="preserve"> PAGEREF _Toc22624 \h </w:instrText>
      </w:r>
      <w:r>
        <w:rPr>
          <w:rFonts w:hint="eastAsia"/>
        </w:rPr>
        <w:fldChar w:fldCharType="separate"/>
      </w:r>
      <w:r>
        <w:rPr>
          <w:rFonts w:hint="eastAsia"/>
        </w:rPr>
        <w:t>52</w:t>
      </w:r>
      <w:r>
        <w:rPr>
          <w:rFonts w:hint="eastAsia"/>
        </w:rPr>
        <w:fldChar w:fldCharType="end"/>
      </w:r>
      <w:r>
        <w:rPr>
          <w:rFonts w:hint="eastAsia"/>
        </w:rPr>
        <w:fldChar w:fldCharType="end"/>
      </w:r>
    </w:p>
    <w:p w14:paraId="69B3220A">
      <w:pPr>
        <w:pStyle w:val="18"/>
        <w:tabs>
          <w:tab w:val="right" w:leader="dot" w:pos="8845"/>
        </w:tabs>
        <w:rPr>
          <w:rFonts w:hint="eastAsia"/>
        </w:rPr>
      </w:pPr>
      <w:r>
        <w:rPr>
          <w:rFonts w:hint="eastAsia"/>
        </w:rPr>
        <w:fldChar w:fldCharType="begin"/>
      </w:r>
      <w:r>
        <w:rPr>
          <w:rFonts w:hint="eastAsia"/>
        </w:rPr>
        <w:instrText xml:space="preserve"> HYPERLINK \l _Toc10271 </w:instrText>
      </w:r>
      <w:r>
        <w:rPr>
          <w:rFonts w:hint="eastAsia"/>
        </w:rPr>
        <w:fldChar w:fldCharType="separate"/>
      </w:r>
      <w:r>
        <w:rPr>
          <w:rFonts w:hint="eastAsia"/>
          <w:lang w:val="en-US" w:eastAsia="zh-CN"/>
        </w:rPr>
        <w:t>5.2传承红色文化</w:t>
      </w:r>
      <w:r>
        <w:rPr>
          <w:rFonts w:hint="eastAsia"/>
        </w:rPr>
        <w:tab/>
      </w:r>
      <w:r>
        <w:rPr>
          <w:rFonts w:hint="eastAsia"/>
        </w:rPr>
        <w:fldChar w:fldCharType="begin"/>
      </w:r>
      <w:r>
        <w:rPr>
          <w:rFonts w:hint="eastAsia"/>
        </w:rPr>
        <w:instrText xml:space="preserve"> PAGEREF _Toc10271 \h </w:instrText>
      </w:r>
      <w:r>
        <w:rPr>
          <w:rFonts w:hint="eastAsia"/>
        </w:rPr>
        <w:fldChar w:fldCharType="separate"/>
      </w:r>
      <w:r>
        <w:rPr>
          <w:rFonts w:hint="eastAsia"/>
        </w:rPr>
        <w:t>53</w:t>
      </w:r>
      <w:r>
        <w:rPr>
          <w:rFonts w:hint="eastAsia"/>
        </w:rPr>
        <w:fldChar w:fldCharType="end"/>
      </w:r>
      <w:r>
        <w:rPr>
          <w:rFonts w:hint="eastAsia"/>
        </w:rPr>
        <w:fldChar w:fldCharType="end"/>
      </w:r>
    </w:p>
    <w:p w14:paraId="73EBC9B4">
      <w:pPr>
        <w:pStyle w:val="18"/>
        <w:tabs>
          <w:tab w:val="right" w:leader="dot" w:pos="8845"/>
        </w:tabs>
        <w:rPr>
          <w:rFonts w:hint="eastAsia"/>
        </w:rPr>
      </w:pPr>
      <w:r>
        <w:rPr>
          <w:rFonts w:hint="eastAsia"/>
        </w:rPr>
        <w:fldChar w:fldCharType="begin"/>
      </w:r>
      <w:r>
        <w:rPr>
          <w:rFonts w:hint="eastAsia"/>
        </w:rPr>
        <w:instrText xml:space="preserve"> HYPERLINK \l _Toc7405 </w:instrText>
      </w:r>
      <w:r>
        <w:rPr>
          <w:rFonts w:hint="eastAsia"/>
        </w:rPr>
        <w:fldChar w:fldCharType="separate"/>
      </w:r>
      <w:r>
        <w:rPr>
          <w:rFonts w:hint="eastAsia"/>
          <w:lang w:val="en-US" w:eastAsia="zh-CN"/>
        </w:rPr>
        <w:t>5.2.1深挖红色资源</w:t>
      </w:r>
      <w:r>
        <w:rPr>
          <w:rFonts w:hint="eastAsia"/>
        </w:rPr>
        <w:tab/>
      </w:r>
      <w:r>
        <w:rPr>
          <w:rFonts w:hint="eastAsia"/>
        </w:rPr>
        <w:fldChar w:fldCharType="begin"/>
      </w:r>
      <w:r>
        <w:rPr>
          <w:rFonts w:hint="eastAsia"/>
        </w:rPr>
        <w:instrText xml:space="preserve"> PAGEREF _Toc7405 \h </w:instrText>
      </w:r>
      <w:r>
        <w:rPr>
          <w:rFonts w:hint="eastAsia"/>
        </w:rPr>
        <w:fldChar w:fldCharType="separate"/>
      </w:r>
      <w:r>
        <w:rPr>
          <w:rFonts w:hint="eastAsia"/>
        </w:rPr>
        <w:t>55</w:t>
      </w:r>
      <w:r>
        <w:rPr>
          <w:rFonts w:hint="eastAsia"/>
        </w:rPr>
        <w:fldChar w:fldCharType="end"/>
      </w:r>
      <w:r>
        <w:rPr>
          <w:rFonts w:hint="eastAsia"/>
        </w:rPr>
        <w:fldChar w:fldCharType="end"/>
      </w:r>
    </w:p>
    <w:p w14:paraId="550678A1">
      <w:pPr>
        <w:pStyle w:val="18"/>
        <w:tabs>
          <w:tab w:val="right" w:leader="dot" w:pos="8845"/>
        </w:tabs>
        <w:rPr>
          <w:rFonts w:hint="eastAsia"/>
        </w:rPr>
      </w:pPr>
      <w:r>
        <w:rPr>
          <w:rFonts w:hint="eastAsia"/>
        </w:rPr>
        <w:fldChar w:fldCharType="begin"/>
      </w:r>
      <w:r>
        <w:rPr>
          <w:rFonts w:hint="eastAsia"/>
        </w:rPr>
        <w:instrText xml:space="preserve"> HYPERLINK \l _Toc21651 </w:instrText>
      </w:r>
      <w:r>
        <w:rPr>
          <w:rFonts w:hint="eastAsia"/>
        </w:rPr>
        <w:fldChar w:fldCharType="separate"/>
      </w:r>
      <w:r>
        <w:rPr>
          <w:rFonts w:hint="eastAsia"/>
          <w:lang w:val="en-US" w:eastAsia="zh-CN"/>
        </w:rPr>
        <w:t>5.2.2拓宽学习视野</w:t>
      </w:r>
      <w:r>
        <w:rPr>
          <w:rFonts w:hint="eastAsia"/>
        </w:rPr>
        <w:tab/>
      </w:r>
      <w:r>
        <w:rPr>
          <w:rFonts w:hint="eastAsia"/>
        </w:rPr>
        <w:fldChar w:fldCharType="begin"/>
      </w:r>
      <w:r>
        <w:rPr>
          <w:rFonts w:hint="eastAsia"/>
        </w:rPr>
        <w:instrText xml:space="preserve"> PAGEREF _Toc21651 \h </w:instrText>
      </w:r>
      <w:r>
        <w:rPr>
          <w:rFonts w:hint="eastAsia"/>
        </w:rPr>
        <w:fldChar w:fldCharType="separate"/>
      </w:r>
      <w:r>
        <w:rPr>
          <w:rFonts w:hint="eastAsia"/>
        </w:rPr>
        <w:t>56</w:t>
      </w:r>
      <w:r>
        <w:rPr>
          <w:rFonts w:hint="eastAsia"/>
        </w:rPr>
        <w:fldChar w:fldCharType="end"/>
      </w:r>
      <w:r>
        <w:rPr>
          <w:rFonts w:hint="eastAsia"/>
        </w:rPr>
        <w:fldChar w:fldCharType="end"/>
      </w:r>
    </w:p>
    <w:p w14:paraId="3712988F">
      <w:pPr>
        <w:pStyle w:val="18"/>
        <w:tabs>
          <w:tab w:val="right" w:leader="dot" w:pos="8845"/>
        </w:tabs>
        <w:rPr>
          <w:rFonts w:hint="eastAsia"/>
        </w:rPr>
      </w:pPr>
      <w:r>
        <w:rPr>
          <w:rFonts w:hint="eastAsia"/>
        </w:rPr>
        <w:fldChar w:fldCharType="begin"/>
      </w:r>
      <w:r>
        <w:rPr>
          <w:rFonts w:hint="eastAsia"/>
        </w:rPr>
        <w:instrText xml:space="preserve"> HYPERLINK \l _Toc25825 </w:instrText>
      </w:r>
      <w:r>
        <w:rPr>
          <w:rFonts w:hint="eastAsia"/>
        </w:rPr>
        <w:fldChar w:fldCharType="separate"/>
      </w:r>
      <w:r>
        <w:rPr>
          <w:rFonts w:hint="eastAsia"/>
          <w:lang w:val="en-US" w:eastAsia="zh-CN"/>
        </w:rPr>
        <w:t>5.2.3丰富特色路径</w:t>
      </w:r>
      <w:r>
        <w:rPr>
          <w:rFonts w:hint="eastAsia"/>
        </w:rPr>
        <w:tab/>
      </w:r>
      <w:r>
        <w:rPr>
          <w:rFonts w:hint="eastAsia"/>
        </w:rPr>
        <w:fldChar w:fldCharType="begin"/>
      </w:r>
      <w:r>
        <w:rPr>
          <w:rFonts w:hint="eastAsia"/>
        </w:rPr>
        <w:instrText xml:space="preserve"> PAGEREF _Toc25825 \h </w:instrText>
      </w:r>
      <w:r>
        <w:rPr>
          <w:rFonts w:hint="eastAsia"/>
        </w:rPr>
        <w:fldChar w:fldCharType="separate"/>
      </w:r>
      <w:r>
        <w:rPr>
          <w:rFonts w:hint="eastAsia"/>
        </w:rPr>
        <w:t>57</w:t>
      </w:r>
      <w:r>
        <w:rPr>
          <w:rFonts w:hint="eastAsia"/>
        </w:rPr>
        <w:fldChar w:fldCharType="end"/>
      </w:r>
      <w:r>
        <w:rPr>
          <w:rFonts w:hint="eastAsia"/>
        </w:rPr>
        <w:fldChar w:fldCharType="end"/>
      </w:r>
    </w:p>
    <w:p w14:paraId="77543468">
      <w:pPr>
        <w:pStyle w:val="18"/>
        <w:tabs>
          <w:tab w:val="right" w:leader="dot" w:pos="8845"/>
        </w:tabs>
        <w:rPr>
          <w:rFonts w:hint="eastAsia"/>
        </w:rPr>
      </w:pPr>
      <w:r>
        <w:rPr>
          <w:rFonts w:hint="eastAsia"/>
        </w:rPr>
        <w:fldChar w:fldCharType="begin"/>
      </w:r>
      <w:r>
        <w:rPr>
          <w:rFonts w:hint="eastAsia"/>
        </w:rPr>
        <w:instrText xml:space="preserve"> HYPERLINK \l _Toc25061 </w:instrText>
      </w:r>
      <w:r>
        <w:rPr>
          <w:rFonts w:hint="eastAsia"/>
        </w:rPr>
        <w:fldChar w:fldCharType="separate"/>
      </w:r>
      <w:r>
        <w:rPr>
          <w:rFonts w:hint="eastAsia"/>
          <w:lang w:val="en-US" w:eastAsia="zh-CN"/>
        </w:rPr>
        <w:t>5.2.4探索“一讲二动三熏陶”的创新文化融入模式</w:t>
      </w:r>
      <w:r>
        <w:rPr>
          <w:rFonts w:hint="eastAsia"/>
        </w:rPr>
        <w:tab/>
      </w:r>
      <w:r>
        <w:rPr>
          <w:rFonts w:hint="eastAsia"/>
        </w:rPr>
        <w:fldChar w:fldCharType="begin"/>
      </w:r>
      <w:r>
        <w:rPr>
          <w:rFonts w:hint="eastAsia"/>
        </w:rPr>
        <w:instrText xml:space="preserve"> PAGEREF _Toc25061 \h </w:instrText>
      </w:r>
      <w:r>
        <w:rPr>
          <w:rFonts w:hint="eastAsia"/>
        </w:rPr>
        <w:fldChar w:fldCharType="separate"/>
      </w:r>
      <w:r>
        <w:rPr>
          <w:rFonts w:hint="eastAsia"/>
        </w:rPr>
        <w:t>57</w:t>
      </w:r>
      <w:r>
        <w:rPr>
          <w:rFonts w:hint="eastAsia"/>
        </w:rPr>
        <w:fldChar w:fldCharType="end"/>
      </w:r>
      <w:r>
        <w:rPr>
          <w:rFonts w:hint="eastAsia"/>
        </w:rPr>
        <w:fldChar w:fldCharType="end"/>
      </w:r>
    </w:p>
    <w:p w14:paraId="370775BB">
      <w:pPr>
        <w:pStyle w:val="18"/>
        <w:tabs>
          <w:tab w:val="right" w:leader="dot" w:pos="8845"/>
        </w:tabs>
        <w:rPr>
          <w:rFonts w:hint="eastAsia"/>
        </w:rPr>
      </w:pPr>
      <w:r>
        <w:rPr>
          <w:rFonts w:hint="eastAsia"/>
        </w:rPr>
        <w:fldChar w:fldCharType="begin"/>
      </w:r>
      <w:r>
        <w:rPr>
          <w:rFonts w:hint="eastAsia"/>
        </w:rPr>
        <w:instrText xml:space="preserve"> HYPERLINK \l _Toc9730 </w:instrText>
      </w:r>
      <w:r>
        <w:rPr>
          <w:rFonts w:hint="eastAsia"/>
        </w:rPr>
        <w:fldChar w:fldCharType="separate"/>
      </w:r>
      <w:r>
        <w:rPr>
          <w:rFonts w:hint="eastAsia"/>
          <w:lang w:val="en-US" w:eastAsia="zh-CN"/>
        </w:rPr>
        <w:t>5.3传承中华优秀传统文化</w:t>
      </w:r>
      <w:r>
        <w:rPr>
          <w:rFonts w:hint="eastAsia"/>
        </w:rPr>
        <w:tab/>
      </w:r>
      <w:r>
        <w:rPr>
          <w:rFonts w:hint="eastAsia"/>
        </w:rPr>
        <w:fldChar w:fldCharType="begin"/>
      </w:r>
      <w:r>
        <w:rPr>
          <w:rFonts w:hint="eastAsia"/>
        </w:rPr>
        <w:instrText xml:space="preserve"> PAGEREF _Toc9730 \h </w:instrText>
      </w:r>
      <w:r>
        <w:rPr>
          <w:rFonts w:hint="eastAsia"/>
        </w:rPr>
        <w:fldChar w:fldCharType="separate"/>
      </w:r>
      <w:r>
        <w:rPr>
          <w:rFonts w:hint="eastAsia"/>
        </w:rPr>
        <w:t>57</w:t>
      </w:r>
      <w:r>
        <w:rPr>
          <w:rFonts w:hint="eastAsia"/>
        </w:rPr>
        <w:fldChar w:fldCharType="end"/>
      </w:r>
      <w:r>
        <w:rPr>
          <w:rFonts w:hint="eastAsia"/>
        </w:rPr>
        <w:fldChar w:fldCharType="end"/>
      </w:r>
    </w:p>
    <w:p w14:paraId="1B465DFE">
      <w:pPr>
        <w:pStyle w:val="18"/>
        <w:tabs>
          <w:tab w:val="right" w:leader="dot" w:pos="8845"/>
        </w:tabs>
        <w:rPr>
          <w:rFonts w:hint="eastAsia"/>
        </w:rPr>
      </w:pPr>
      <w:r>
        <w:rPr>
          <w:rFonts w:hint="eastAsia"/>
        </w:rPr>
        <w:fldChar w:fldCharType="begin"/>
      </w:r>
      <w:r>
        <w:rPr>
          <w:rFonts w:hint="eastAsia"/>
        </w:rPr>
        <w:instrText xml:space="preserve"> HYPERLINK \l _Toc6494 </w:instrText>
      </w:r>
      <w:r>
        <w:rPr>
          <w:rFonts w:hint="eastAsia"/>
        </w:rPr>
        <w:fldChar w:fldCharType="separate"/>
      </w:r>
      <w:r>
        <w:rPr>
          <w:rFonts w:hint="eastAsia"/>
          <w:lang w:val="en-US" w:eastAsia="zh-CN"/>
        </w:rPr>
        <w:t>5.4传承地方或校园特色文化</w:t>
      </w:r>
      <w:r>
        <w:rPr>
          <w:rFonts w:hint="eastAsia"/>
        </w:rPr>
        <w:tab/>
      </w:r>
      <w:r>
        <w:rPr>
          <w:rFonts w:hint="eastAsia"/>
        </w:rPr>
        <w:fldChar w:fldCharType="begin"/>
      </w:r>
      <w:r>
        <w:rPr>
          <w:rFonts w:hint="eastAsia"/>
        </w:rPr>
        <w:instrText xml:space="preserve"> PAGEREF _Toc6494 \h </w:instrText>
      </w:r>
      <w:r>
        <w:rPr>
          <w:rFonts w:hint="eastAsia"/>
        </w:rPr>
        <w:fldChar w:fldCharType="separate"/>
      </w:r>
      <w:r>
        <w:rPr>
          <w:rFonts w:hint="eastAsia"/>
        </w:rPr>
        <w:t>58</w:t>
      </w:r>
      <w:r>
        <w:rPr>
          <w:rFonts w:hint="eastAsia"/>
        </w:rPr>
        <w:fldChar w:fldCharType="end"/>
      </w:r>
      <w:r>
        <w:rPr>
          <w:rFonts w:hint="eastAsia"/>
        </w:rPr>
        <w:fldChar w:fldCharType="end"/>
      </w:r>
    </w:p>
    <w:p w14:paraId="10E92B60">
      <w:pPr>
        <w:pStyle w:val="18"/>
        <w:tabs>
          <w:tab w:val="right" w:leader="dot" w:pos="8845"/>
        </w:tabs>
        <w:rPr>
          <w:rFonts w:hint="eastAsia"/>
        </w:rPr>
      </w:pPr>
      <w:r>
        <w:rPr>
          <w:rFonts w:hint="eastAsia"/>
        </w:rPr>
        <w:fldChar w:fldCharType="begin"/>
      </w:r>
      <w:r>
        <w:rPr>
          <w:rFonts w:hint="eastAsia"/>
        </w:rPr>
        <w:instrText xml:space="preserve"> HYPERLINK \l _Toc27816 </w:instrText>
      </w:r>
      <w:r>
        <w:rPr>
          <w:rFonts w:hint="eastAsia"/>
        </w:rPr>
        <w:fldChar w:fldCharType="separate"/>
      </w:r>
      <w:r>
        <w:rPr>
          <w:rFonts w:hint="eastAsia"/>
          <w:lang w:val="en-US" w:eastAsia="zh-CN"/>
        </w:rPr>
        <w:t>6</w:t>
      </w:r>
      <w:r>
        <w:rPr>
          <w:rFonts w:hint="eastAsia"/>
        </w:rPr>
        <w:t>.国际合作</w:t>
      </w:r>
      <w:r>
        <w:rPr>
          <w:rFonts w:hint="eastAsia"/>
        </w:rPr>
        <w:tab/>
      </w:r>
      <w:r>
        <w:rPr>
          <w:rFonts w:hint="eastAsia"/>
        </w:rPr>
        <w:fldChar w:fldCharType="begin"/>
      </w:r>
      <w:r>
        <w:rPr>
          <w:rFonts w:hint="eastAsia"/>
        </w:rPr>
        <w:instrText xml:space="preserve"> PAGEREF _Toc27816 \h </w:instrText>
      </w:r>
      <w:r>
        <w:rPr>
          <w:rFonts w:hint="eastAsia"/>
        </w:rPr>
        <w:fldChar w:fldCharType="separate"/>
      </w:r>
      <w:r>
        <w:rPr>
          <w:rFonts w:hint="eastAsia"/>
        </w:rPr>
        <w:t>59</w:t>
      </w:r>
      <w:r>
        <w:rPr>
          <w:rFonts w:hint="eastAsia"/>
        </w:rPr>
        <w:fldChar w:fldCharType="end"/>
      </w:r>
      <w:r>
        <w:rPr>
          <w:rFonts w:hint="eastAsia"/>
        </w:rPr>
        <w:fldChar w:fldCharType="end"/>
      </w:r>
    </w:p>
    <w:p w14:paraId="37C60970">
      <w:pPr>
        <w:pStyle w:val="18"/>
        <w:tabs>
          <w:tab w:val="right" w:leader="dot" w:pos="8845"/>
        </w:tabs>
        <w:rPr>
          <w:rFonts w:hint="eastAsia"/>
        </w:rPr>
      </w:pPr>
      <w:r>
        <w:rPr>
          <w:rFonts w:hint="eastAsia"/>
        </w:rPr>
        <w:fldChar w:fldCharType="begin"/>
      </w:r>
      <w:r>
        <w:rPr>
          <w:rFonts w:hint="eastAsia"/>
        </w:rPr>
        <w:instrText xml:space="preserve"> HYPERLINK \l _Toc25947 </w:instrText>
      </w:r>
      <w:r>
        <w:rPr>
          <w:rFonts w:hint="eastAsia"/>
        </w:rPr>
        <w:fldChar w:fldCharType="separate"/>
      </w:r>
      <w:r>
        <w:rPr>
          <w:rFonts w:hint="eastAsia"/>
          <w:lang w:val="en-US" w:eastAsia="zh-CN"/>
        </w:rPr>
        <w:t>6</w:t>
      </w:r>
      <w:r>
        <w:rPr>
          <w:rFonts w:hint="eastAsia"/>
        </w:rPr>
        <w:t>.1留学生培养质量</w:t>
      </w:r>
      <w:r>
        <w:rPr>
          <w:rFonts w:hint="eastAsia"/>
        </w:rPr>
        <w:tab/>
      </w:r>
      <w:r>
        <w:rPr>
          <w:rFonts w:hint="eastAsia"/>
        </w:rPr>
        <w:fldChar w:fldCharType="begin"/>
      </w:r>
      <w:r>
        <w:rPr>
          <w:rFonts w:hint="eastAsia"/>
        </w:rPr>
        <w:instrText xml:space="preserve"> PAGEREF _Toc25947 \h </w:instrText>
      </w:r>
      <w:r>
        <w:rPr>
          <w:rFonts w:hint="eastAsia"/>
        </w:rPr>
        <w:fldChar w:fldCharType="separate"/>
      </w:r>
      <w:r>
        <w:rPr>
          <w:rFonts w:hint="eastAsia"/>
        </w:rPr>
        <w:t>60</w:t>
      </w:r>
      <w:r>
        <w:rPr>
          <w:rFonts w:hint="eastAsia"/>
        </w:rPr>
        <w:fldChar w:fldCharType="end"/>
      </w:r>
      <w:r>
        <w:rPr>
          <w:rFonts w:hint="eastAsia"/>
        </w:rPr>
        <w:fldChar w:fldCharType="end"/>
      </w:r>
    </w:p>
    <w:p w14:paraId="2469811C">
      <w:pPr>
        <w:pStyle w:val="18"/>
        <w:tabs>
          <w:tab w:val="right" w:leader="dot" w:pos="8845"/>
        </w:tabs>
        <w:rPr>
          <w:rFonts w:hint="eastAsia"/>
        </w:rPr>
      </w:pPr>
      <w:r>
        <w:rPr>
          <w:rFonts w:hint="eastAsia"/>
        </w:rPr>
        <w:fldChar w:fldCharType="begin"/>
      </w:r>
      <w:r>
        <w:rPr>
          <w:rFonts w:hint="eastAsia"/>
        </w:rPr>
        <w:instrText xml:space="preserve"> HYPERLINK \l _Toc29560 </w:instrText>
      </w:r>
      <w:r>
        <w:rPr>
          <w:rFonts w:hint="eastAsia"/>
        </w:rPr>
        <w:fldChar w:fldCharType="separate"/>
      </w:r>
      <w:r>
        <w:rPr>
          <w:rFonts w:hint="eastAsia"/>
          <w:lang w:val="en-US" w:eastAsia="zh-CN"/>
        </w:rPr>
        <w:t>6</w:t>
      </w:r>
      <w:r>
        <w:rPr>
          <w:rFonts w:hint="eastAsia"/>
        </w:rPr>
        <w:t>.2合作办学质量</w:t>
      </w:r>
      <w:r>
        <w:rPr>
          <w:rFonts w:hint="eastAsia"/>
        </w:rPr>
        <w:tab/>
      </w:r>
      <w:r>
        <w:rPr>
          <w:rFonts w:hint="eastAsia"/>
        </w:rPr>
        <w:fldChar w:fldCharType="begin"/>
      </w:r>
      <w:r>
        <w:rPr>
          <w:rFonts w:hint="eastAsia"/>
        </w:rPr>
        <w:instrText xml:space="preserve"> PAGEREF _Toc29560 \h </w:instrText>
      </w:r>
      <w:r>
        <w:rPr>
          <w:rFonts w:hint="eastAsia"/>
        </w:rPr>
        <w:fldChar w:fldCharType="separate"/>
      </w:r>
      <w:r>
        <w:rPr>
          <w:rFonts w:hint="eastAsia"/>
        </w:rPr>
        <w:t>60</w:t>
      </w:r>
      <w:r>
        <w:rPr>
          <w:rFonts w:hint="eastAsia"/>
        </w:rPr>
        <w:fldChar w:fldCharType="end"/>
      </w:r>
      <w:r>
        <w:rPr>
          <w:rFonts w:hint="eastAsia"/>
        </w:rPr>
        <w:fldChar w:fldCharType="end"/>
      </w:r>
    </w:p>
    <w:p w14:paraId="759D3473">
      <w:pPr>
        <w:pStyle w:val="18"/>
        <w:tabs>
          <w:tab w:val="right" w:leader="dot" w:pos="8845"/>
        </w:tabs>
        <w:rPr>
          <w:rFonts w:hint="eastAsia"/>
        </w:rPr>
      </w:pPr>
      <w:r>
        <w:rPr>
          <w:rFonts w:hint="eastAsia"/>
        </w:rPr>
        <w:fldChar w:fldCharType="begin"/>
      </w:r>
      <w:r>
        <w:rPr>
          <w:rFonts w:hint="eastAsia"/>
        </w:rPr>
        <w:instrText xml:space="preserve"> HYPERLINK \l _Toc12463 </w:instrText>
      </w:r>
      <w:r>
        <w:rPr>
          <w:rFonts w:hint="eastAsia"/>
        </w:rPr>
        <w:fldChar w:fldCharType="separate"/>
      </w:r>
      <w:r>
        <w:rPr>
          <w:rFonts w:hint="eastAsia"/>
          <w:lang w:val="en-US" w:eastAsia="zh-CN"/>
        </w:rPr>
        <w:t>6</w:t>
      </w:r>
      <w:r>
        <w:rPr>
          <w:rFonts w:hint="eastAsia"/>
        </w:rPr>
        <w:t>.3开发标准质量</w:t>
      </w:r>
      <w:r>
        <w:rPr>
          <w:rFonts w:hint="eastAsia"/>
        </w:rPr>
        <w:tab/>
      </w:r>
      <w:r>
        <w:rPr>
          <w:rFonts w:hint="eastAsia"/>
        </w:rPr>
        <w:fldChar w:fldCharType="begin"/>
      </w:r>
      <w:r>
        <w:rPr>
          <w:rFonts w:hint="eastAsia"/>
        </w:rPr>
        <w:instrText xml:space="preserve"> PAGEREF _Toc12463 \h </w:instrText>
      </w:r>
      <w:r>
        <w:rPr>
          <w:rFonts w:hint="eastAsia"/>
        </w:rPr>
        <w:fldChar w:fldCharType="separate"/>
      </w:r>
      <w:r>
        <w:rPr>
          <w:rFonts w:hint="eastAsia"/>
        </w:rPr>
        <w:t>60</w:t>
      </w:r>
      <w:r>
        <w:rPr>
          <w:rFonts w:hint="eastAsia"/>
        </w:rPr>
        <w:fldChar w:fldCharType="end"/>
      </w:r>
      <w:r>
        <w:rPr>
          <w:rFonts w:hint="eastAsia"/>
        </w:rPr>
        <w:fldChar w:fldCharType="end"/>
      </w:r>
    </w:p>
    <w:p w14:paraId="23922C30">
      <w:pPr>
        <w:pStyle w:val="18"/>
        <w:tabs>
          <w:tab w:val="right" w:leader="dot" w:pos="8845"/>
        </w:tabs>
        <w:rPr>
          <w:rFonts w:hint="eastAsia"/>
        </w:rPr>
      </w:pPr>
      <w:r>
        <w:rPr>
          <w:rFonts w:hint="eastAsia"/>
        </w:rPr>
        <w:fldChar w:fldCharType="begin"/>
      </w:r>
      <w:r>
        <w:rPr>
          <w:rFonts w:hint="eastAsia"/>
        </w:rPr>
        <w:instrText xml:space="preserve"> HYPERLINK \l _Toc4564 </w:instrText>
      </w:r>
      <w:r>
        <w:rPr>
          <w:rFonts w:hint="eastAsia"/>
        </w:rPr>
        <w:fldChar w:fldCharType="separate"/>
      </w:r>
      <w:r>
        <w:rPr>
          <w:rFonts w:hint="eastAsia"/>
          <w:lang w:val="en-US" w:eastAsia="zh-CN"/>
        </w:rPr>
        <w:t>6</w:t>
      </w:r>
      <w:r>
        <w:rPr>
          <w:rFonts w:hint="eastAsia"/>
        </w:rPr>
        <w:t>.</w:t>
      </w:r>
      <w:r>
        <w:rPr>
          <w:rFonts w:hint="eastAsia"/>
          <w:lang w:val="en-US" w:eastAsia="zh-CN"/>
        </w:rPr>
        <w:t>4国际交流</w:t>
      </w:r>
      <w:r>
        <w:rPr>
          <w:rFonts w:hint="eastAsia"/>
        </w:rPr>
        <w:tab/>
      </w:r>
      <w:r>
        <w:rPr>
          <w:rFonts w:hint="eastAsia"/>
        </w:rPr>
        <w:fldChar w:fldCharType="begin"/>
      </w:r>
      <w:r>
        <w:rPr>
          <w:rFonts w:hint="eastAsia"/>
        </w:rPr>
        <w:instrText xml:space="preserve"> PAGEREF _Toc4564 \h </w:instrText>
      </w:r>
      <w:r>
        <w:rPr>
          <w:rFonts w:hint="eastAsia"/>
        </w:rPr>
        <w:fldChar w:fldCharType="separate"/>
      </w:r>
      <w:r>
        <w:rPr>
          <w:rFonts w:hint="eastAsia"/>
        </w:rPr>
        <w:t>61</w:t>
      </w:r>
      <w:r>
        <w:rPr>
          <w:rFonts w:hint="eastAsia"/>
        </w:rPr>
        <w:fldChar w:fldCharType="end"/>
      </w:r>
      <w:r>
        <w:rPr>
          <w:rFonts w:hint="eastAsia"/>
        </w:rPr>
        <w:fldChar w:fldCharType="end"/>
      </w:r>
    </w:p>
    <w:p w14:paraId="31F19C7E">
      <w:pPr>
        <w:pStyle w:val="18"/>
        <w:tabs>
          <w:tab w:val="right" w:leader="dot" w:pos="8845"/>
        </w:tabs>
        <w:rPr>
          <w:rFonts w:hint="eastAsia"/>
        </w:rPr>
      </w:pPr>
      <w:r>
        <w:rPr>
          <w:rFonts w:hint="eastAsia"/>
        </w:rPr>
        <w:fldChar w:fldCharType="begin"/>
      </w:r>
      <w:r>
        <w:rPr>
          <w:rFonts w:hint="eastAsia"/>
        </w:rPr>
        <w:instrText xml:space="preserve"> HYPERLINK \l _Toc30138 </w:instrText>
      </w:r>
      <w:r>
        <w:rPr>
          <w:rFonts w:hint="eastAsia"/>
        </w:rPr>
        <w:fldChar w:fldCharType="separate"/>
      </w:r>
      <w:r>
        <w:rPr>
          <w:rFonts w:hint="eastAsia"/>
          <w:lang w:val="en-US" w:eastAsia="zh-CN"/>
        </w:rPr>
        <w:t>6.4.1国际大赛，频获佳绩</w:t>
      </w:r>
      <w:r>
        <w:rPr>
          <w:rFonts w:hint="eastAsia"/>
        </w:rPr>
        <w:tab/>
      </w:r>
      <w:r>
        <w:rPr>
          <w:rFonts w:hint="eastAsia"/>
        </w:rPr>
        <w:fldChar w:fldCharType="begin"/>
      </w:r>
      <w:r>
        <w:rPr>
          <w:rFonts w:hint="eastAsia"/>
        </w:rPr>
        <w:instrText xml:space="preserve"> PAGEREF _Toc30138 \h </w:instrText>
      </w:r>
      <w:r>
        <w:rPr>
          <w:rFonts w:hint="eastAsia"/>
        </w:rPr>
        <w:fldChar w:fldCharType="separate"/>
      </w:r>
      <w:r>
        <w:rPr>
          <w:rFonts w:hint="eastAsia"/>
        </w:rPr>
        <w:t>61</w:t>
      </w:r>
      <w:r>
        <w:rPr>
          <w:rFonts w:hint="eastAsia"/>
        </w:rPr>
        <w:fldChar w:fldCharType="end"/>
      </w:r>
      <w:r>
        <w:rPr>
          <w:rFonts w:hint="eastAsia"/>
        </w:rPr>
        <w:fldChar w:fldCharType="end"/>
      </w:r>
    </w:p>
    <w:p w14:paraId="2326EED0">
      <w:pPr>
        <w:pStyle w:val="18"/>
        <w:tabs>
          <w:tab w:val="right" w:leader="dot" w:pos="8845"/>
        </w:tabs>
        <w:rPr>
          <w:rFonts w:hint="eastAsia"/>
        </w:rPr>
      </w:pPr>
      <w:r>
        <w:rPr>
          <w:rFonts w:hint="eastAsia"/>
        </w:rPr>
        <w:fldChar w:fldCharType="begin"/>
      </w:r>
      <w:r>
        <w:rPr>
          <w:rFonts w:hint="eastAsia"/>
        </w:rPr>
        <w:instrText xml:space="preserve"> HYPERLINK \l _Toc32503 </w:instrText>
      </w:r>
      <w:r>
        <w:rPr>
          <w:rFonts w:hint="eastAsia"/>
        </w:rPr>
        <w:fldChar w:fldCharType="separate"/>
      </w:r>
      <w:r>
        <w:rPr>
          <w:rFonts w:hint="eastAsia"/>
          <w:lang w:val="en-US" w:eastAsia="zh-CN"/>
        </w:rPr>
        <w:t>6.4.2示范课程，效果优异</w:t>
      </w:r>
      <w:r>
        <w:rPr>
          <w:rFonts w:hint="eastAsia"/>
        </w:rPr>
        <w:tab/>
      </w:r>
      <w:r>
        <w:rPr>
          <w:rFonts w:hint="eastAsia"/>
        </w:rPr>
        <w:fldChar w:fldCharType="begin"/>
      </w:r>
      <w:r>
        <w:rPr>
          <w:rFonts w:hint="eastAsia"/>
        </w:rPr>
        <w:instrText xml:space="preserve"> PAGEREF _Toc32503 \h </w:instrText>
      </w:r>
      <w:r>
        <w:rPr>
          <w:rFonts w:hint="eastAsia"/>
        </w:rPr>
        <w:fldChar w:fldCharType="separate"/>
      </w:r>
      <w:r>
        <w:rPr>
          <w:rFonts w:hint="eastAsia"/>
        </w:rPr>
        <w:t>62</w:t>
      </w:r>
      <w:r>
        <w:rPr>
          <w:rFonts w:hint="eastAsia"/>
        </w:rPr>
        <w:fldChar w:fldCharType="end"/>
      </w:r>
      <w:r>
        <w:rPr>
          <w:rFonts w:hint="eastAsia"/>
        </w:rPr>
        <w:fldChar w:fldCharType="end"/>
      </w:r>
    </w:p>
    <w:p w14:paraId="2F425F46">
      <w:pPr>
        <w:pStyle w:val="18"/>
        <w:tabs>
          <w:tab w:val="right" w:leader="dot" w:pos="8845"/>
        </w:tabs>
        <w:rPr>
          <w:rFonts w:hint="eastAsia"/>
        </w:rPr>
      </w:pPr>
      <w:r>
        <w:rPr>
          <w:rFonts w:hint="eastAsia"/>
        </w:rPr>
        <w:fldChar w:fldCharType="begin"/>
      </w:r>
      <w:r>
        <w:rPr>
          <w:rFonts w:hint="eastAsia"/>
        </w:rPr>
        <w:instrText xml:space="preserve"> HYPERLINK \l _Toc9124 </w:instrText>
      </w:r>
      <w:r>
        <w:rPr>
          <w:rFonts w:hint="eastAsia"/>
        </w:rPr>
        <w:fldChar w:fldCharType="separate"/>
      </w:r>
      <w:r>
        <w:rPr>
          <w:rFonts w:hint="eastAsia"/>
          <w:lang w:val="en-US" w:eastAsia="zh-CN"/>
        </w:rPr>
        <w:t>6.5</w:t>
      </w:r>
      <w:r>
        <w:rPr>
          <w:rFonts w:hint="eastAsia"/>
        </w:rPr>
        <w:t>国（境）外独立办学质量</w:t>
      </w:r>
      <w:r>
        <w:rPr>
          <w:rFonts w:hint="eastAsia"/>
        </w:rPr>
        <w:tab/>
      </w:r>
      <w:r>
        <w:rPr>
          <w:rFonts w:hint="eastAsia"/>
        </w:rPr>
        <w:fldChar w:fldCharType="begin"/>
      </w:r>
      <w:r>
        <w:rPr>
          <w:rFonts w:hint="eastAsia"/>
        </w:rPr>
        <w:instrText xml:space="preserve"> PAGEREF _Toc9124 \h </w:instrText>
      </w:r>
      <w:r>
        <w:rPr>
          <w:rFonts w:hint="eastAsia"/>
        </w:rPr>
        <w:fldChar w:fldCharType="separate"/>
      </w:r>
      <w:r>
        <w:rPr>
          <w:rFonts w:hint="eastAsia"/>
        </w:rPr>
        <w:t>63</w:t>
      </w:r>
      <w:r>
        <w:rPr>
          <w:rFonts w:hint="eastAsia"/>
        </w:rPr>
        <w:fldChar w:fldCharType="end"/>
      </w:r>
      <w:r>
        <w:rPr>
          <w:rFonts w:hint="eastAsia"/>
        </w:rPr>
        <w:fldChar w:fldCharType="end"/>
      </w:r>
    </w:p>
    <w:p w14:paraId="62C9A6E1">
      <w:pPr>
        <w:pStyle w:val="18"/>
        <w:tabs>
          <w:tab w:val="right" w:leader="dot" w:pos="8845"/>
        </w:tabs>
        <w:rPr>
          <w:rFonts w:hint="eastAsia"/>
        </w:rPr>
      </w:pPr>
      <w:r>
        <w:rPr>
          <w:rFonts w:hint="eastAsia"/>
        </w:rPr>
        <w:fldChar w:fldCharType="begin"/>
      </w:r>
      <w:r>
        <w:rPr>
          <w:rFonts w:hint="eastAsia"/>
        </w:rPr>
        <w:instrText xml:space="preserve"> HYPERLINK \l _Toc5853 </w:instrText>
      </w:r>
      <w:r>
        <w:rPr>
          <w:rFonts w:hint="eastAsia"/>
        </w:rPr>
        <w:fldChar w:fldCharType="separate"/>
      </w:r>
      <w:r>
        <w:rPr>
          <w:rFonts w:hint="eastAsia"/>
        </w:rPr>
        <w:t>7.发展保障</w:t>
      </w:r>
      <w:r>
        <w:rPr>
          <w:rFonts w:hint="eastAsia"/>
        </w:rPr>
        <w:tab/>
      </w:r>
      <w:r>
        <w:rPr>
          <w:rFonts w:hint="eastAsia"/>
        </w:rPr>
        <w:fldChar w:fldCharType="begin"/>
      </w:r>
      <w:r>
        <w:rPr>
          <w:rFonts w:hint="eastAsia"/>
        </w:rPr>
        <w:instrText xml:space="preserve"> PAGEREF _Toc5853 \h </w:instrText>
      </w:r>
      <w:r>
        <w:rPr>
          <w:rFonts w:hint="eastAsia"/>
        </w:rPr>
        <w:fldChar w:fldCharType="separate"/>
      </w:r>
      <w:r>
        <w:rPr>
          <w:rFonts w:hint="eastAsia"/>
        </w:rPr>
        <w:t>63</w:t>
      </w:r>
      <w:r>
        <w:rPr>
          <w:rFonts w:hint="eastAsia"/>
        </w:rPr>
        <w:fldChar w:fldCharType="end"/>
      </w:r>
      <w:r>
        <w:rPr>
          <w:rFonts w:hint="eastAsia"/>
        </w:rPr>
        <w:fldChar w:fldCharType="end"/>
      </w:r>
    </w:p>
    <w:p w14:paraId="0547BC90">
      <w:pPr>
        <w:pStyle w:val="18"/>
        <w:tabs>
          <w:tab w:val="right" w:leader="dot" w:pos="8845"/>
        </w:tabs>
        <w:rPr>
          <w:rFonts w:hint="eastAsia"/>
        </w:rPr>
      </w:pPr>
      <w:r>
        <w:rPr>
          <w:rFonts w:hint="eastAsia"/>
        </w:rPr>
        <w:fldChar w:fldCharType="begin"/>
      </w:r>
      <w:r>
        <w:rPr>
          <w:rFonts w:hint="eastAsia"/>
        </w:rPr>
        <w:instrText xml:space="preserve"> HYPERLINK \l _Toc29223 </w:instrText>
      </w:r>
      <w:r>
        <w:rPr>
          <w:rFonts w:hint="eastAsia"/>
        </w:rPr>
        <w:fldChar w:fldCharType="separate"/>
      </w:r>
      <w:r>
        <w:rPr>
          <w:rFonts w:hint="eastAsia"/>
        </w:rPr>
        <w:t>7.1党建引领</w:t>
      </w:r>
      <w:r>
        <w:rPr>
          <w:rFonts w:hint="eastAsia"/>
        </w:rPr>
        <w:tab/>
      </w:r>
      <w:r>
        <w:rPr>
          <w:rFonts w:hint="eastAsia"/>
        </w:rPr>
        <w:fldChar w:fldCharType="begin"/>
      </w:r>
      <w:r>
        <w:rPr>
          <w:rFonts w:hint="eastAsia"/>
        </w:rPr>
        <w:instrText xml:space="preserve"> PAGEREF _Toc29223 \h </w:instrText>
      </w:r>
      <w:r>
        <w:rPr>
          <w:rFonts w:hint="eastAsia"/>
        </w:rPr>
        <w:fldChar w:fldCharType="separate"/>
      </w:r>
      <w:r>
        <w:rPr>
          <w:rFonts w:hint="eastAsia"/>
        </w:rPr>
        <w:t>63</w:t>
      </w:r>
      <w:r>
        <w:rPr>
          <w:rFonts w:hint="eastAsia"/>
        </w:rPr>
        <w:fldChar w:fldCharType="end"/>
      </w:r>
      <w:r>
        <w:rPr>
          <w:rFonts w:hint="eastAsia"/>
        </w:rPr>
        <w:fldChar w:fldCharType="end"/>
      </w:r>
    </w:p>
    <w:p w14:paraId="571A0043">
      <w:pPr>
        <w:pStyle w:val="18"/>
        <w:tabs>
          <w:tab w:val="right" w:leader="dot" w:pos="8845"/>
        </w:tabs>
        <w:rPr>
          <w:rFonts w:hint="eastAsia"/>
        </w:rPr>
      </w:pPr>
      <w:r>
        <w:rPr>
          <w:rFonts w:hint="eastAsia"/>
        </w:rPr>
        <w:fldChar w:fldCharType="begin"/>
      </w:r>
      <w:r>
        <w:rPr>
          <w:rFonts w:hint="eastAsia"/>
        </w:rPr>
        <w:instrText xml:space="preserve"> HYPERLINK \l _Toc30554 </w:instrText>
      </w:r>
      <w:r>
        <w:rPr>
          <w:rFonts w:hint="eastAsia"/>
        </w:rPr>
        <w:fldChar w:fldCharType="separate"/>
      </w:r>
      <w:r>
        <w:rPr>
          <w:rFonts w:hint="eastAsia"/>
          <w:lang w:val="en-US" w:eastAsia="zh-CN"/>
        </w:rPr>
        <w:t>7.2.1国家、市级政策落实</w:t>
      </w:r>
      <w:r>
        <w:rPr>
          <w:rFonts w:hint="eastAsia"/>
        </w:rPr>
        <w:tab/>
      </w:r>
      <w:r>
        <w:rPr>
          <w:rFonts w:hint="eastAsia"/>
        </w:rPr>
        <w:fldChar w:fldCharType="begin"/>
      </w:r>
      <w:r>
        <w:rPr>
          <w:rFonts w:hint="eastAsia"/>
        </w:rPr>
        <w:instrText xml:space="preserve"> PAGEREF _Toc30554 \h </w:instrText>
      </w:r>
      <w:r>
        <w:rPr>
          <w:rFonts w:hint="eastAsia"/>
        </w:rPr>
        <w:fldChar w:fldCharType="separate"/>
      </w:r>
      <w:r>
        <w:rPr>
          <w:rFonts w:hint="eastAsia"/>
        </w:rPr>
        <w:t>66</w:t>
      </w:r>
      <w:r>
        <w:rPr>
          <w:rFonts w:hint="eastAsia"/>
        </w:rPr>
        <w:fldChar w:fldCharType="end"/>
      </w:r>
      <w:r>
        <w:rPr>
          <w:rFonts w:hint="eastAsia"/>
        </w:rPr>
        <w:fldChar w:fldCharType="end"/>
      </w:r>
    </w:p>
    <w:p w14:paraId="429FFFAA">
      <w:pPr>
        <w:pStyle w:val="18"/>
        <w:tabs>
          <w:tab w:val="right" w:leader="dot" w:pos="8845"/>
        </w:tabs>
        <w:rPr>
          <w:rFonts w:hint="eastAsia"/>
        </w:rPr>
      </w:pPr>
      <w:r>
        <w:rPr>
          <w:rFonts w:hint="eastAsia"/>
        </w:rPr>
        <w:fldChar w:fldCharType="begin"/>
      </w:r>
      <w:r>
        <w:rPr>
          <w:rFonts w:hint="eastAsia"/>
        </w:rPr>
        <w:instrText xml:space="preserve"> HYPERLINK \l _Toc16571 </w:instrText>
      </w:r>
      <w:r>
        <w:rPr>
          <w:rFonts w:hint="eastAsia"/>
        </w:rPr>
        <w:fldChar w:fldCharType="separate"/>
      </w:r>
      <w:r>
        <w:rPr>
          <w:rFonts w:hint="eastAsia"/>
          <w:lang w:val="en-US" w:eastAsia="zh-CN"/>
        </w:rPr>
        <w:t>7.2.2区级政策落实</w:t>
      </w:r>
      <w:r>
        <w:rPr>
          <w:rFonts w:hint="eastAsia"/>
        </w:rPr>
        <w:tab/>
      </w:r>
      <w:r>
        <w:rPr>
          <w:rFonts w:hint="eastAsia"/>
        </w:rPr>
        <w:fldChar w:fldCharType="begin"/>
      </w:r>
      <w:r>
        <w:rPr>
          <w:rFonts w:hint="eastAsia"/>
        </w:rPr>
        <w:instrText xml:space="preserve"> PAGEREF _Toc16571 \h </w:instrText>
      </w:r>
      <w:r>
        <w:rPr>
          <w:rFonts w:hint="eastAsia"/>
        </w:rPr>
        <w:fldChar w:fldCharType="separate"/>
      </w:r>
      <w:r>
        <w:rPr>
          <w:rFonts w:hint="eastAsia"/>
        </w:rPr>
        <w:t>66</w:t>
      </w:r>
      <w:r>
        <w:rPr>
          <w:rFonts w:hint="eastAsia"/>
        </w:rPr>
        <w:fldChar w:fldCharType="end"/>
      </w:r>
      <w:r>
        <w:rPr>
          <w:rFonts w:hint="eastAsia"/>
        </w:rPr>
        <w:fldChar w:fldCharType="end"/>
      </w:r>
    </w:p>
    <w:p w14:paraId="7DA39A2C">
      <w:pPr>
        <w:pStyle w:val="18"/>
        <w:tabs>
          <w:tab w:val="right" w:leader="dot" w:pos="8845"/>
        </w:tabs>
        <w:rPr>
          <w:rFonts w:hint="eastAsia"/>
        </w:rPr>
      </w:pPr>
      <w:r>
        <w:rPr>
          <w:rFonts w:hint="eastAsia"/>
        </w:rPr>
        <w:fldChar w:fldCharType="begin"/>
      </w:r>
      <w:r>
        <w:rPr>
          <w:rFonts w:hint="eastAsia"/>
        </w:rPr>
        <w:instrText xml:space="preserve"> HYPERLINK \l _Toc16154 </w:instrText>
      </w:r>
      <w:r>
        <w:rPr>
          <w:rFonts w:hint="eastAsia"/>
        </w:rPr>
        <w:fldChar w:fldCharType="separate"/>
      </w:r>
      <w:r>
        <w:rPr>
          <w:rFonts w:hint="eastAsia"/>
          <w:lang w:val="en-US" w:eastAsia="zh-CN"/>
        </w:rPr>
        <w:t>7.2.3技工学校政策落实情况</w:t>
      </w:r>
      <w:r>
        <w:rPr>
          <w:rFonts w:hint="eastAsia"/>
        </w:rPr>
        <w:tab/>
      </w:r>
      <w:r>
        <w:rPr>
          <w:rFonts w:hint="eastAsia"/>
        </w:rPr>
        <w:fldChar w:fldCharType="begin"/>
      </w:r>
      <w:r>
        <w:rPr>
          <w:rFonts w:hint="eastAsia"/>
        </w:rPr>
        <w:instrText xml:space="preserve"> PAGEREF _Toc16154 \h </w:instrText>
      </w:r>
      <w:r>
        <w:rPr>
          <w:rFonts w:hint="eastAsia"/>
        </w:rPr>
        <w:fldChar w:fldCharType="separate"/>
      </w:r>
      <w:r>
        <w:rPr>
          <w:rFonts w:hint="eastAsia"/>
        </w:rPr>
        <w:t>67</w:t>
      </w:r>
      <w:r>
        <w:rPr>
          <w:rFonts w:hint="eastAsia"/>
        </w:rPr>
        <w:fldChar w:fldCharType="end"/>
      </w:r>
      <w:r>
        <w:rPr>
          <w:rFonts w:hint="eastAsia"/>
        </w:rPr>
        <w:fldChar w:fldCharType="end"/>
      </w:r>
    </w:p>
    <w:p w14:paraId="327E7AAD">
      <w:pPr>
        <w:pStyle w:val="18"/>
        <w:tabs>
          <w:tab w:val="right" w:leader="dot" w:pos="8845"/>
        </w:tabs>
        <w:rPr>
          <w:rFonts w:hint="eastAsia"/>
        </w:rPr>
      </w:pPr>
      <w:r>
        <w:rPr>
          <w:rFonts w:hint="eastAsia"/>
        </w:rPr>
        <w:fldChar w:fldCharType="begin"/>
      </w:r>
      <w:r>
        <w:rPr>
          <w:rFonts w:hint="eastAsia"/>
        </w:rPr>
        <w:instrText xml:space="preserve"> HYPERLINK \l _Toc17452 </w:instrText>
      </w:r>
      <w:r>
        <w:rPr>
          <w:rFonts w:hint="eastAsia"/>
        </w:rPr>
        <w:fldChar w:fldCharType="separate"/>
      </w:r>
      <w:r>
        <w:rPr>
          <w:rFonts w:hint="eastAsia"/>
        </w:rPr>
        <w:t>7.3学校治理</w:t>
      </w:r>
      <w:r>
        <w:rPr>
          <w:rFonts w:hint="eastAsia"/>
        </w:rPr>
        <w:tab/>
      </w:r>
      <w:r>
        <w:rPr>
          <w:rFonts w:hint="eastAsia"/>
        </w:rPr>
        <w:fldChar w:fldCharType="begin"/>
      </w:r>
      <w:r>
        <w:rPr>
          <w:rFonts w:hint="eastAsia"/>
        </w:rPr>
        <w:instrText xml:space="preserve"> PAGEREF _Toc17452 \h </w:instrText>
      </w:r>
      <w:r>
        <w:rPr>
          <w:rFonts w:hint="eastAsia"/>
        </w:rPr>
        <w:fldChar w:fldCharType="separate"/>
      </w:r>
      <w:r>
        <w:rPr>
          <w:rFonts w:hint="eastAsia"/>
        </w:rPr>
        <w:t>67</w:t>
      </w:r>
      <w:r>
        <w:rPr>
          <w:rFonts w:hint="eastAsia"/>
        </w:rPr>
        <w:fldChar w:fldCharType="end"/>
      </w:r>
      <w:r>
        <w:rPr>
          <w:rFonts w:hint="eastAsia"/>
        </w:rPr>
        <w:fldChar w:fldCharType="end"/>
      </w:r>
    </w:p>
    <w:p w14:paraId="225E434B">
      <w:pPr>
        <w:pStyle w:val="18"/>
        <w:tabs>
          <w:tab w:val="right" w:leader="dot" w:pos="8845"/>
        </w:tabs>
        <w:rPr>
          <w:rFonts w:hint="eastAsia"/>
        </w:rPr>
      </w:pPr>
      <w:r>
        <w:rPr>
          <w:rFonts w:hint="eastAsia"/>
        </w:rPr>
        <w:fldChar w:fldCharType="begin"/>
      </w:r>
      <w:r>
        <w:rPr>
          <w:rFonts w:hint="eastAsia"/>
        </w:rPr>
        <w:instrText xml:space="preserve"> HYPERLINK \l _Toc17750 </w:instrText>
      </w:r>
      <w:r>
        <w:rPr>
          <w:rFonts w:hint="eastAsia"/>
        </w:rPr>
        <w:fldChar w:fldCharType="separate"/>
      </w:r>
      <w:r>
        <w:rPr>
          <w:rFonts w:hint="eastAsia"/>
          <w:lang w:val="en-US" w:eastAsia="zh-CN"/>
        </w:rPr>
        <w:t>7.4质量保证</w:t>
      </w:r>
      <w:r>
        <w:rPr>
          <w:rFonts w:hint="eastAsia"/>
        </w:rPr>
        <w:tab/>
      </w:r>
      <w:r>
        <w:rPr>
          <w:rFonts w:hint="eastAsia"/>
        </w:rPr>
        <w:fldChar w:fldCharType="begin"/>
      </w:r>
      <w:r>
        <w:rPr>
          <w:rFonts w:hint="eastAsia"/>
        </w:rPr>
        <w:instrText xml:space="preserve"> PAGEREF _Toc17750 \h </w:instrText>
      </w:r>
      <w:r>
        <w:rPr>
          <w:rFonts w:hint="eastAsia"/>
        </w:rPr>
        <w:fldChar w:fldCharType="separate"/>
      </w:r>
      <w:r>
        <w:rPr>
          <w:rFonts w:hint="eastAsia"/>
        </w:rPr>
        <w:t>69</w:t>
      </w:r>
      <w:r>
        <w:rPr>
          <w:rFonts w:hint="eastAsia"/>
        </w:rPr>
        <w:fldChar w:fldCharType="end"/>
      </w:r>
      <w:r>
        <w:rPr>
          <w:rFonts w:hint="eastAsia"/>
        </w:rPr>
        <w:fldChar w:fldCharType="end"/>
      </w:r>
    </w:p>
    <w:p w14:paraId="1C8A573C">
      <w:pPr>
        <w:pStyle w:val="18"/>
        <w:tabs>
          <w:tab w:val="right" w:leader="dot" w:pos="8845"/>
        </w:tabs>
        <w:rPr>
          <w:rFonts w:hint="eastAsia"/>
        </w:rPr>
      </w:pPr>
      <w:r>
        <w:rPr>
          <w:rFonts w:hint="eastAsia"/>
        </w:rPr>
        <w:fldChar w:fldCharType="begin"/>
      </w:r>
      <w:r>
        <w:rPr>
          <w:rFonts w:hint="eastAsia"/>
        </w:rPr>
        <w:instrText xml:space="preserve"> HYPERLINK \l _Toc7653 </w:instrText>
      </w:r>
      <w:r>
        <w:rPr>
          <w:rFonts w:hint="eastAsia"/>
        </w:rPr>
        <w:fldChar w:fldCharType="separate"/>
      </w:r>
      <w:r>
        <w:rPr>
          <w:rFonts w:hint="eastAsia"/>
          <w:lang w:val="en-US" w:eastAsia="zh-CN"/>
        </w:rPr>
        <w:t>7.5经费保障</w:t>
      </w:r>
      <w:r>
        <w:rPr>
          <w:rFonts w:hint="eastAsia"/>
        </w:rPr>
        <w:tab/>
      </w:r>
      <w:r>
        <w:rPr>
          <w:rFonts w:hint="eastAsia"/>
        </w:rPr>
        <w:fldChar w:fldCharType="begin"/>
      </w:r>
      <w:r>
        <w:rPr>
          <w:rFonts w:hint="eastAsia"/>
        </w:rPr>
        <w:instrText xml:space="preserve"> PAGEREF _Toc7653 \h </w:instrText>
      </w:r>
      <w:r>
        <w:rPr>
          <w:rFonts w:hint="eastAsia"/>
        </w:rPr>
        <w:fldChar w:fldCharType="separate"/>
      </w:r>
      <w:r>
        <w:rPr>
          <w:rFonts w:hint="eastAsia"/>
        </w:rPr>
        <w:t>72</w:t>
      </w:r>
      <w:r>
        <w:rPr>
          <w:rFonts w:hint="eastAsia"/>
        </w:rPr>
        <w:fldChar w:fldCharType="end"/>
      </w:r>
      <w:r>
        <w:rPr>
          <w:rFonts w:hint="eastAsia"/>
        </w:rPr>
        <w:fldChar w:fldCharType="end"/>
      </w:r>
    </w:p>
    <w:p w14:paraId="484955C2">
      <w:pPr>
        <w:pStyle w:val="18"/>
        <w:tabs>
          <w:tab w:val="right" w:leader="dot" w:pos="8845"/>
        </w:tabs>
        <w:rPr>
          <w:rFonts w:hint="eastAsia"/>
        </w:rPr>
      </w:pPr>
      <w:r>
        <w:rPr>
          <w:rFonts w:hint="eastAsia"/>
        </w:rPr>
        <w:fldChar w:fldCharType="begin"/>
      </w:r>
      <w:r>
        <w:rPr>
          <w:rFonts w:hint="eastAsia"/>
        </w:rPr>
        <w:instrText xml:space="preserve"> HYPERLINK \l _Toc6278 </w:instrText>
      </w:r>
      <w:r>
        <w:rPr>
          <w:rFonts w:hint="eastAsia"/>
        </w:rPr>
        <w:fldChar w:fldCharType="separate"/>
      </w:r>
      <w:r>
        <w:rPr>
          <w:rFonts w:hint="eastAsia"/>
          <w:lang w:val="en-US" w:eastAsia="zh-CN"/>
        </w:rPr>
        <w:t>7.5.1经费来源</w:t>
      </w:r>
      <w:r>
        <w:rPr>
          <w:rFonts w:hint="eastAsia"/>
        </w:rPr>
        <w:tab/>
      </w:r>
      <w:r>
        <w:rPr>
          <w:rFonts w:hint="eastAsia"/>
        </w:rPr>
        <w:fldChar w:fldCharType="begin"/>
      </w:r>
      <w:r>
        <w:rPr>
          <w:rFonts w:hint="eastAsia"/>
        </w:rPr>
        <w:instrText xml:space="preserve"> PAGEREF _Toc6278 \h </w:instrText>
      </w:r>
      <w:r>
        <w:rPr>
          <w:rFonts w:hint="eastAsia"/>
        </w:rPr>
        <w:fldChar w:fldCharType="separate"/>
      </w:r>
      <w:r>
        <w:rPr>
          <w:rFonts w:hint="eastAsia"/>
        </w:rPr>
        <w:t>72</w:t>
      </w:r>
      <w:r>
        <w:rPr>
          <w:rFonts w:hint="eastAsia"/>
        </w:rPr>
        <w:fldChar w:fldCharType="end"/>
      </w:r>
      <w:r>
        <w:rPr>
          <w:rFonts w:hint="eastAsia"/>
        </w:rPr>
        <w:fldChar w:fldCharType="end"/>
      </w:r>
    </w:p>
    <w:p w14:paraId="0677B1ED">
      <w:pPr>
        <w:pStyle w:val="18"/>
        <w:tabs>
          <w:tab w:val="right" w:leader="dot" w:pos="8845"/>
        </w:tabs>
        <w:rPr>
          <w:rFonts w:hint="eastAsia"/>
        </w:rPr>
      </w:pPr>
      <w:r>
        <w:rPr>
          <w:rFonts w:hint="eastAsia"/>
        </w:rPr>
        <w:fldChar w:fldCharType="begin"/>
      </w:r>
      <w:r>
        <w:rPr>
          <w:rFonts w:hint="eastAsia"/>
        </w:rPr>
        <w:instrText xml:space="preserve"> HYPERLINK \l _Toc4713 </w:instrText>
      </w:r>
      <w:r>
        <w:rPr>
          <w:rFonts w:hint="eastAsia"/>
        </w:rPr>
        <w:fldChar w:fldCharType="separate"/>
      </w:r>
      <w:r>
        <w:rPr>
          <w:rFonts w:hint="eastAsia"/>
          <w:lang w:val="en-US" w:eastAsia="zh-CN"/>
        </w:rPr>
        <w:t>7.5.2经费支出</w:t>
      </w:r>
      <w:r>
        <w:rPr>
          <w:rFonts w:hint="eastAsia"/>
        </w:rPr>
        <w:tab/>
      </w:r>
      <w:r>
        <w:rPr>
          <w:rFonts w:hint="eastAsia"/>
        </w:rPr>
        <w:fldChar w:fldCharType="begin"/>
      </w:r>
      <w:r>
        <w:rPr>
          <w:rFonts w:hint="eastAsia"/>
        </w:rPr>
        <w:instrText xml:space="preserve"> PAGEREF _Toc4713 \h </w:instrText>
      </w:r>
      <w:r>
        <w:rPr>
          <w:rFonts w:hint="eastAsia"/>
        </w:rPr>
        <w:fldChar w:fldCharType="separate"/>
      </w:r>
      <w:r>
        <w:rPr>
          <w:rFonts w:hint="eastAsia"/>
        </w:rPr>
        <w:t>72</w:t>
      </w:r>
      <w:r>
        <w:rPr>
          <w:rFonts w:hint="eastAsia"/>
        </w:rPr>
        <w:fldChar w:fldCharType="end"/>
      </w:r>
      <w:r>
        <w:rPr>
          <w:rFonts w:hint="eastAsia"/>
        </w:rPr>
        <w:fldChar w:fldCharType="end"/>
      </w:r>
    </w:p>
    <w:p w14:paraId="2E071006">
      <w:pPr>
        <w:pStyle w:val="18"/>
        <w:tabs>
          <w:tab w:val="right" w:leader="dot" w:pos="8845"/>
        </w:tabs>
        <w:rPr>
          <w:rFonts w:hint="eastAsia"/>
        </w:rPr>
      </w:pPr>
      <w:r>
        <w:rPr>
          <w:rFonts w:hint="eastAsia"/>
        </w:rPr>
        <w:fldChar w:fldCharType="begin"/>
      </w:r>
      <w:r>
        <w:rPr>
          <w:rFonts w:hint="eastAsia"/>
        </w:rPr>
        <w:instrText xml:space="preserve"> HYPERLINK \l _Toc17244 </w:instrText>
      </w:r>
      <w:r>
        <w:rPr>
          <w:rFonts w:hint="eastAsia"/>
        </w:rPr>
        <w:fldChar w:fldCharType="separate"/>
      </w:r>
      <w:r>
        <w:rPr>
          <w:rFonts w:hint="eastAsia"/>
          <w:lang w:val="en-US" w:eastAsia="zh-CN"/>
        </w:rPr>
        <w:t>8.</w:t>
      </w:r>
      <w:r>
        <w:rPr>
          <w:rFonts w:hint="eastAsia"/>
        </w:rPr>
        <w:t>面临挑战</w:t>
      </w:r>
      <w:r>
        <w:rPr>
          <w:rFonts w:hint="eastAsia"/>
        </w:rPr>
        <w:tab/>
      </w:r>
      <w:r>
        <w:rPr>
          <w:rFonts w:hint="eastAsia"/>
        </w:rPr>
        <w:fldChar w:fldCharType="begin"/>
      </w:r>
      <w:r>
        <w:rPr>
          <w:rFonts w:hint="eastAsia"/>
        </w:rPr>
        <w:instrText xml:space="preserve"> PAGEREF _Toc17244 \h </w:instrText>
      </w:r>
      <w:r>
        <w:rPr>
          <w:rFonts w:hint="eastAsia"/>
        </w:rPr>
        <w:fldChar w:fldCharType="separate"/>
      </w:r>
      <w:r>
        <w:rPr>
          <w:rFonts w:hint="eastAsia"/>
        </w:rPr>
        <w:t>74</w:t>
      </w:r>
      <w:r>
        <w:rPr>
          <w:rFonts w:hint="eastAsia"/>
        </w:rPr>
        <w:fldChar w:fldCharType="end"/>
      </w:r>
      <w:r>
        <w:rPr>
          <w:rFonts w:hint="eastAsia"/>
        </w:rPr>
        <w:fldChar w:fldCharType="end"/>
      </w:r>
    </w:p>
    <w:p w14:paraId="192E50C7">
      <w:pPr>
        <w:pStyle w:val="18"/>
        <w:tabs>
          <w:tab w:val="right" w:leader="dot" w:pos="8845"/>
        </w:tabs>
        <w:rPr>
          <w:szCs w:val="24"/>
        </w:rPr>
      </w:pPr>
      <w:r>
        <w:rPr>
          <w:rFonts w:hint="eastAsia"/>
        </w:rPr>
        <w:fldChar w:fldCharType="begin"/>
      </w:r>
      <w:r>
        <w:rPr>
          <w:rFonts w:hint="eastAsia"/>
        </w:rPr>
        <w:instrText xml:space="preserve"> HYPERLINK \l _Toc220 </w:instrText>
      </w:r>
      <w:r>
        <w:rPr>
          <w:rFonts w:hint="eastAsia"/>
        </w:rPr>
        <w:fldChar w:fldCharType="separate"/>
      </w:r>
      <w:r>
        <w:rPr>
          <w:rFonts w:hint="eastAsia"/>
        </w:rPr>
        <w:t>附表：</w:t>
      </w:r>
      <w:r>
        <w:rPr>
          <w:rFonts w:hint="eastAsia"/>
        </w:rPr>
        <w:tab/>
      </w:r>
      <w:r>
        <w:rPr>
          <w:rFonts w:hint="eastAsia"/>
        </w:rPr>
        <w:fldChar w:fldCharType="begin"/>
      </w:r>
      <w:r>
        <w:rPr>
          <w:rFonts w:hint="eastAsia"/>
        </w:rPr>
        <w:instrText xml:space="preserve"> PAGEREF _Toc220 \h </w:instrText>
      </w:r>
      <w:r>
        <w:rPr>
          <w:rFonts w:hint="eastAsia"/>
        </w:rPr>
        <w:fldChar w:fldCharType="separate"/>
      </w:r>
      <w:r>
        <w:rPr>
          <w:rFonts w:hint="eastAsia"/>
        </w:rPr>
        <w:t>154</w:t>
      </w:r>
      <w:r>
        <w:rPr>
          <w:rFonts w:hint="eastAsia"/>
        </w:rPr>
        <w:fldChar w:fldCharType="end"/>
      </w:r>
      <w:r>
        <w:rPr>
          <w:rFonts w:hint="eastAsia"/>
        </w:rPr>
        <w:fldChar w:fldCharType="end"/>
      </w:r>
    </w:p>
    <w:p w14:paraId="4158586D">
      <w:pPr>
        <w:pStyle w:val="18"/>
        <w:tabs>
          <w:tab w:val="right" w:leader="dot" w:pos="8845"/>
        </w:tabs>
        <w:ind w:firstLine="0"/>
        <w:rPr>
          <w:rFonts w:hint="eastAsia"/>
        </w:rPr>
      </w:pPr>
      <w:r>
        <w:rPr>
          <w:rFonts w:hint="eastAsia"/>
          <w:sz w:val="24"/>
          <w:szCs w:val="24"/>
        </w:rPr>
        <w:fldChar w:fldCharType="end"/>
      </w:r>
    </w:p>
    <w:p w14:paraId="15CDB871">
      <w:pPr>
        <w:rPr>
          <w:rFonts w:hint="eastAsia" w:ascii="方正仿宋_GBK" w:hAnsi="方正仿宋_GBK" w:eastAsia="方正仿宋_GBK" w:cs="方正仿宋_GBK"/>
          <w:bCs/>
          <w:color w:val="auto"/>
          <w:szCs w:val="24"/>
        </w:rPr>
      </w:pPr>
      <w:r>
        <w:rPr>
          <w:rFonts w:hint="eastAsia" w:ascii="方正仿宋_GBK" w:hAnsi="方正仿宋_GBK" w:eastAsia="方正仿宋_GBK" w:cs="方正仿宋_GBK"/>
          <w:bCs/>
          <w:color w:val="auto"/>
          <w:szCs w:val="24"/>
        </w:rPr>
        <w:br w:type="page"/>
      </w:r>
    </w:p>
    <w:p w14:paraId="6E7DA19C">
      <w:pPr>
        <w:jc w:val="center"/>
        <w:rPr>
          <w:rFonts w:hint="eastAsia" w:ascii="黑体" w:hAnsi="黑体" w:eastAsia="黑体" w:cs="黑体"/>
          <w:bCs/>
          <w:color w:val="auto"/>
          <w:sz w:val="36"/>
          <w:szCs w:val="36"/>
        </w:rPr>
      </w:pPr>
      <w:r>
        <w:rPr>
          <w:rFonts w:hint="eastAsia" w:ascii="黑体" w:hAnsi="黑体" w:eastAsia="黑体" w:cs="黑体"/>
          <w:bCs/>
          <w:color w:val="auto"/>
          <w:sz w:val="36"/>
          <w:szCs w:val="36"/>
        </w:rPr>
        <w:t>附表目录</w:t>
      </w:r>
    </w:p>
    <w:p w14:paraId="5E125F63">
      <w:pPr>
        <w:pStyle w:val="18"/>
        <w:tabs>
          <w:tab w:val="right" w:leader="dot" w:pos="8845"/>
        </w:tabs>
      </w:pPr>
      <w:bookmarkStart w:id="16" w:name="_Toc5126"/>
      <w:bookmarkStart w:id="17" w:name="_Toc20255"/>
      <w:bookmarkStart w:id="18" w:name="_Toc5094"/>
      <w:bookmarkStart w:id="19" w:name="_Toc5488"/>
      <w:bookmarkStart w:id="20" w:name="_Toc7889"/>
      <w:bookmarkStart w:id="21" w:name="_Toc24499"/>
      <w:r>
        <w:fldChar w:fldCharType="begin"/>
      </w:r>
      <w:r>
        <w:instrText xml:space="preserve">TOC \t "表1" \h \c</w:instrText>
      </w:r>
      <w:r>
        <w:fldChar w:fldCharType="separate"/>
      </w:r>
      <w:bookmarkEnd w:id="16"/>
      <w:bookmarkEnd w:id="17"/>
      <w:bookmarkEnd w:id="18"/>
      <w:r>
        <w:fldChar w:fldCharType="begin"/>
      </w:r>
      <w:r>
        <w:instrText xml:space="preserve"> HYPERLINK \l _Toc13608 </w:instrText>
      </w:r>
      <w:r>
        <w:fldChar w:fldCharType="separate"/>
      </w:r>
      <w:r>
        <w:rPr>
          <w:rFonts w:hint="eastAsia"/>
          <w:lang w:val="en-US" w:eastAsia="zh-CN"/>
        </w:rPr>
        <w:t xml:space="preserve">表1 </w:t>
      </w:r>
      <w:r>
        <w:rPr>
          <w:rFonts w:hint="eastAsia"/>
        </w:rPr>
        <w:t>中职学校各专业大类学生规模</w:t>
      </w:r>
      <w:r>
        <w:tab/>
      </w:r>
      <w:r>
        <w:fldChar w:fldCharType="begin"/>
      </w:r>
      <w:r>
        <w:instrText xml:space="preserve"> PAGEREF _Toc13608 \h </w:instrText>
      </w:r>
      <w:r>
        <w:fldChar w:fldCharType="separate"/>
      </w:r>
      <w:r>
        <w:t>8</w:t>
      </w:r>
      <w:r>
        <w:fldChar w:fldCharType="end"/>
      </w:r>
      <w:r>
        <w:fldChar w:fldCharType="end"/>
      </w:r>
    </w:p>
    <w:p w14:paraId="61786A45">
      <w:pPr>
        <w:pStyle w:val="18"/>
        <w:tabs>
          <w:tab w:val="right" w:leader="dot" w:pos="8845"/>
        </w:tabs>
      </w:pPr>
      <w:r>
        <w:fldChar w:fldCharType="begin"/>
      </w:r>
      <w:r>
        <w:instrText xml:space="preserve"> HYPERLINK \l _Toc14476 </w:instrText>
      </w:r>
      <w:r>
        <w:fldChar w:fldCharType="separate"/>
      </w:r>
      <w:r>
        <w:rPr>
          <w:rFonts w:hint="eastAsia"/>
          <w:lang w:val="en-US" w:eastAsia="zh-CN"/>
        </w:rPr>
        <w:t xml:space="preserve">表2 </w:t>
      </w:r>
      <w:r>
        <w:rPr>
          <w:rFonts w:hint="eastAsia"/>
        </w:rPr>
        <w:t>中职学校</w:t>
      </w:r>
      <w:r>
        <w:rPr>
          <w:rFonts w:hint="eastAsia"/>
          <w:lang w:val="en-US" w:eastAsia="zh-CN"/>
        </w:rPr>
        <w:t>师资队伍基本情况一览表</w:t>
      </w:r>
      <w:r>
        <w:tab/>
      </w:r>
      <w:r>
        <w:fldChar w:fldCharType="begin"/>
      </w:r>
      <w:r>
        <w:instrText xml:space="preserve"> PAGEREF _Toc14476 \h </w:instrText>
      </w:r>
      <w:r>
        <w:fldChar w:fldCharType="separate"/>
      </w:r>
      <w:r>
        <w:t>8</w:t>
      </w:r>
      <w:r>
        <w:fldChar w:fldCharType="end"/>
      </w:r>
      <w:r>
        <w:fldChar w:fldCharType="end"/>
      </w:r>
    </w:p>
    <w:p w14:paraId="29090D63">
      <w:pPr>
        <w:pStyle w:val="18"/>
        <w:tabs>
          <w:tab w:val="right" w:leader="dot" w:pos="8845"/>
        </w:tabs>
      </w:pPr>
      <w:r>
        <w:fldChar w:fldCharType="begin"/>
      </w:r>
      <w:r>
        <w:instrText xml:space="preserve"> HYPERLINK \l _Toc15929 </w:instrText>
      </w:r>
      <w:r>
        <w:fldChar w:fldCharType="separate"/>
      </w:r>
      <w:r>
        <w:rPr>
          <w:rFonts w:hint="eastAsia"/>
          <w:lang w:val="en-US" w:eastAsia="zh-CN"/>
        </w:rPr>
        <w:t>表4 教学资源表</w:t>
      </w:r>
      <w:r>
        <w:tab/>
      </w:r>
      <w:r>
        <w:fldChar w:fldCharType="begin"/>
      </w:r>
      <w:r>
        <w:instrText xml:space="preserve"> PAGEREF _Toc15929 \h </w:instrText>
      </w:r>
      <w:r>
        <w:fldChar w:fldCharType="separate"/>
      </w:r>
      <w:r>
        <w:t>13</w:t>
      </w:r>
      <w:r>
        <w:fldChar w:fldCharType="end"/>
      </w:r>
      <w:r>
        <w:fldChar w:fldCharType="end"/>
      </w:r>
    </w:p>
    <w:p w14:paraId="406DBB9B">
      <w:pPr>
        <w:pStyle w:val="18"/>
        <w:tabs>
          <w:tab w:val="right" w:leader="dot" w:pos="8845"/>
        </w:tabs>
      </w:pPr>
      <w:r>
        <w:fldChar w:fldCharType="begin"/>
      </w:r>
      <w:r>
        <w:instrText xml:space="preserve"> HYPERLINK \l _Toc9301 </w:instrText>
      </w:r>
      <w:r>
        <w:fldChar w:fldCharType="separate"/>
      </w:r>
      <w:r>
        <w:rPr>
          <w:rFonts w:hint="eastAsia"/>
          <w:lang w:val="en-US" w:eastAsia="zh-CN"/>
        </w:rPr>
        <w:t xml:space="preserve">表5 </w:t>
      </w:r>
      <w:r>
        <w:rPr>
          <w:rFonts w:hint="eastAsia"/>
        </w:rPr>
        <w:t>中职学校</w:t>
      </w:r>
      <w:r>
        <w:rPr>
          <w:rFonts w:hint="eastAsia"/>
          <w:lang w:val="en-US" w:eastAsia="zh-CN"/>
        </w:rPr>
        <w:t>课程建设情况一览表</w:t>
      </w:r>
      <w:r>
        <w:tab/>
      </w:r>
      <w:r>
        <w:fldChar w:fldCharType="begin"/>
      </w:r>
      <w:r>
        <w:instrText xml:space="preserve"> PAGEREF _Toc9301 \h </w:instrText>
      </w:r>
      <w:r>
        <w:fldChar w:fldCharType="separate"/>
      </w:r>
      <w:r>
        <w:t>18</w:t>
      </w:r>
      <w:r>
        <w:fldChar w:fldCharType="end"/>
      </w:r>
      <w:r>
        <w:fldChar w:fldCharType="end"/>
      </w:r>
    </w:p>
    <w:p w14:paraId="04370367">
      <w:pPr>
        <w:pStyle w:val="18"/>
        <w:tabs>
          <w:tab w:val="right" w:leader="dot" w:pos="8845"/>
        </w:tabs>
      </w:pPr>
      <w:r>
        <w:fldChar w:fldCharType="begin"/>
      </w:r>
      <w:r>
        <w:instrText xml:space="preserve"> HYPERLINK \l _Toc22665 </w:instrText>
      </w:r>
      <w:r>
        <w:fldChar w:fldCharType="separate"/>
      </w:r>
      <w:r>
        <w:rPr>
          <w:rFonts w:hint="eastAsia"/>
          <w:lang w:val="en-US" w:eastAsia="zh-CN"/>
        </w:rPr>
        <w:t xml:space="preserve">表6 </w:t>
      </w:r>
      <w:r>
        <w:rPr>
          <w:rFonts w:hint="eastAsia"/>
        </w:rPr>
        <w:t>中职学校</w:t>
      </w:r>
      <w:r>
        <w:rPr>
          <w:rFonts w:hint="eastAsia"/>
          <w:lang w:val="en-US" w:eastAsia="zh-CN"/>
        </w:rPr>
        <w:t>教学管理情况一览表</w:t>
      </w:r>
      <w:r>
        <w:tab/>
      </w:r>
      <w:r>
        <w:fldChar w:fldCharType="begin"/>
      </w:r>
      <w:r>
        <w:instrText xml:space="preserve"> PAGEREF _Toc22665 \h </w:instrText>
      </w:r>
      <w:r>
        <w:fldChar w:fldCharType="separate"/>
      </w:r>
      <w:r>
        <w:t>21</w:t>
      </w:r>
      <w:r>
        <w:fldChar w:fldCharType="end"/>
      </w:r>
      <w:r>
        <w:fldChar w:fldCharType="end"/>
      </w:r>
    </w:p>
    <w:p w14:paraId="2773CB99">
      <w:pPr>
        <w:pStyle w:val="18"/>
        <w:tabs>
          <w:tab w:val="right" w:leader="dot" w:pos="8845"/>
        </w:tabs>
      </w:pPr>
      <w:r>
        <w:fldChar w:fldCharType="begin"/>
      </w:r>
      <w:r>
        <w:instrText xml:space="preserve"> HYPERLINK \l _Toc25730 </w:instrText>
      </w:r>
      <w:r>
        <w:fldChar w:fldCharType="separate"/>
      </w:r>
      <w:r>
        <w:rPr>
          <w:rFonts w:hint="eastAsia"/>
          <w:lang w:val="en-US" w:eastAsia="zh-CN"/>
        </w:rPr>
        <w:t xml:space="preserve">表7 </w:t>
      </w:r>
      <w:r>
        <w:rPr>
          <w:rFonts w:hint="eastAsia"/>
        </w:rPr>
        <w:t>中职学校</w:t>
      </w:r>
      <w:r>
        <w:rPr>
          <w:rFonts w:hint="eastAsia"/>
          <w:lang w:val="en-US" w:eastAsia="zh-CN"/>
        </w:rPr>
        <w:t>教材建设一览表</w:t>
      </w:r>
      <w:r>
        <w:tab/>
      </w:r>
      <w:r>
        <w:fldChar w:fldCharType="begin"/>
      </w:r>
      <w:r>
        <w:instrText xml:space="preserve"> PAGEREF _Toc25730 \h </w:instrText>
      </w:r>
      <w:r>
        <w:fldChar w:fldCharType="separate"/>
      </w:r>
      <w:r>
        <w:t>22</w:t>
      </w:r>
      <w:r>
        <w:fldChar w:fldCharType="end"/>
      </w:r>
      <w:r>
        <w:fldChar w:fldCharType="end"/>
      </w:r>
    </w:p>
    <w:p w14:paraId="4DE29D58">
      <w:pPr>
        <w:pStyle w:val="18"/>
        <w:tabs>
          <w:tab w:val="right" w:leader="dot" w:pos="8845"/>
        </w:tabs>
      </w:pPr>
      <w:r>
        <w:fldChar w:fldCharType="begin"/>
      </w:r>
      <w:r>
        <w:instrText xml:space="preserve"> HYPERLINK \l _Toc29257 </w:instrText>
      </w:r>
      <w:r>
        <w:fldChar w:fldCharType="separate"/>
      </w:r>
      <w:r>
        <w:rPr>
          <w:rFonts w:hint="eastAsia"/>
          <w:lang w:val="en-US" w:eastAsia="zh-CN"/>
        </w:rPr>
        <w:t xml:space="preserve">表8 </w:t>
      </w:r>
      <w:r>
        <w:rPr>
          <w:rFonts w:hint="eastAsia"/>
        </w:rPr>
        <w:t>中职学校</w:t>
      </w:r>
      <w:r>
        <w:rPr>
          <w:rFonts w:hint="eastAsia"/>
          <w:lang w:val="en-US" w:eastAsia="zh-CN"/>
        </w:rPr>
        <w:t>教师培养培训情况一览表</w:t>
      </w:r>
      <w:r>
        <w:tab/>
      </w:r>
      <w:r>
        <w:fldChar w:fldCharType="begin"/>
      </w:r>
      <w:r>
        <w:instrText xml:space="preserve"> PAGEREF _Toc29257 \h </w:instrText>
      </w:r>
      <w:r>
        <w:fldChar w:fldCharType="separate"/>
      </w:r>
      <w:r>
        <w:t>24</w:t>
      </w:r>
      <w:r>
        <w:fldChar w:fldCharType="end"/>
      </w:r>
      <w:r>
        <w:fldChar w:fldCharType="end"/>
      </w:r>
    </w:p>
    <w:p w14:paraId="5E6611A2">
      <w:pPr>
        <w:pStyle w:val="18"/>
        <w:tabs>
          <w:tab w:val="right" w:leader="dot" w:pos="8845"/>
        </w:tabs>
      </w:pPr>
      <w:r>
        <w:fldChar w:fldCharType="begin"/>
      </w:r>
      <w:r>
        <w:instrText xml:space="preserve"> HYPERLINK \l _Toc29066 </w:instrText>
      </w:r>
      <w:r>
        <w:fldChar w:fldCharType="separate"/>
      </w:r>
      <w:r>
        <w:rPr>
          <w:rFonts w:hint="eastAsia"/>
          <w:lang w:val="en-US" w:eastAsia="zh-CN"/>
        </w:rPr>
        <w:t xml:space="preserve">表9 </w:t>
      </w:r>
      <w:r>
        <w:rPr>
          <w:rFonts w:hint="eastAsia"/>
        </w:rPr>
        <w:t>中职学校</w:t>
      </w:r>
      <w:r>
        <w:rPr>
          <w:rFonts w:hint="eastAsia"/>
          <w:lang w:val="en-US" w:eastAsia="zh-CN"/>
        </w:rPr>
        <w:t>信息化条件建设情况一览表</w:t>
      </w:r>
      <w:r>
        <w:tab/>
      </w:r>
      <w:r>
        <w:fldChar w:fldCharType="begin"/>
      </w:r>
      <w:r>
        <w:instrText xml:space="preserve"> PAGEREF _Toc29066 \h </w:instrText>
      </w:r>
      <w:r>
        <w:fldChar w:fldCharType="separate"/>
      </w:r>
      <w:r>
        <w:t>28</w:t>
      </w:r>
      <w:r>
        <w:fldChar w:fldCharType="end"/>
      </w:r>
      <w:r>
        <w:fldChar w:fldCharType="end"/>
      </w:r>
    </w:p>
    <w:p w14:paraId="24A5212F">
      <w:pPr>
        <w:pStyle w:val="18"/>
        <w:tabs>
          <w:tab w:val="right" w:leader="dot" w:pos="8845"/>
        </w:tabs>
      </w:pPr>
      <w:r>
        <w:fldChar w:fldCharType="begin"/>
      </w:r>
      <w:r>
        <w:instrText xml:space="preserve"> HYPERLINK \l _Toc249 </w:instrText>
      </w:r>
      <w:r>
        <w:fldChar w:fldCharType="separate"/>
      </w:r>
      <w:r>
        <w:rPr>
          <w:rFonts w:hint="eastAsia"/>
          <w:lang w:val="en-US" w:eastAsia="zh-CN"/>
        </w:rPr>
        <w:t xml:space="preserve">表10 </w:t>
      </w:r>
      <w:r>
        <w:rPr>
          <w:rFonts w:hint="eastAsia"/>
        </w:rPr>
        <w:t>中职学校</w:t>
      </w:r>
      <w:r>
        <w:rPr>
          <w:rFonts w:hint="eastAsia"/>
          <w:lang w:val="en-US" w:eastAsia="zh-CN"/>
        </w:rPr>
        <w:t>各专业本科升学情况分析表</w:t>
      </w:r>
      <w:r>
        <w:tab/>
      </w:r>
      <w:r>
        <w:fldChar w:fldCharType="begin"/>
      </w:r>
      <w:r>
        <w:instrText xml:space="preserve"> PAGEREF _Toc249 \h </w:instrText>
      </w:r>
      <w:r>
        <w:fldChar w:fldCharType="separate"/>
      </w:r>
      <w:r>
        <w:t>31</w:t>
      </w:r>
      <w:r>
        <w:fldChar w:fldCharType="end"/>
      </w:r>
      <w:r>
        <w:fldChar w:fldCharType="end"/>
      </w:r>
    </w:p>
    <w:p w14:paraId="5CA9F7CE">
      <w:pPr>
        <w:pStyle w:val="18"/>
        <w:tabs>
          <w:tab w:val="right" w:leader="dot" w:pos="8845"/>
        </w:tabs>
      </w:pPr>
      <w:r>
        <w:fldChar w:fldCharType="begin"/>
      </w:r>
      <w:r>
        <w:instrText xml:space="preserve"> HYPERLINK \l _Toc22088 </w:instrText>
      </w:r>
      <w:r>
        <w:fldChar w:fldCharType="separate"/>
      </w:r>
      <w:r>
        <w:rPr>
          <w:rFonts w:hint="eastAsia"/>
          <w:lang w:val="en-US" w:eastAsia="zh-CN"/>
        </w:rPr>
        <w:t>表11 全国职业院校技能大赛学生获奖情况一览表（单位：个）</w:t>
      </w:r>
      <w:r>
        <w:tab/>
      </w:r>
      <w:r>
        <w:fldChar w:fldCharType="begin"/>
      </w:r>
      <w:r>
        <w:instrText xml:space="preserve"> PAGEREF _Toc22088 \h </w:instrText>
      </w:r>
      <w:r>
        <w:fldChar w:fldCharType="separate"/>
      </w:r>
      <w:r>
        <w:t>35</w:t>
      </w:r>
      <w:r>
        <w:fldChar w:fldCharType="end"/>
      </w:r>
      <w:r>
        <w:fldChar w:fldCharType="end"/>
      </w:r>
    </w:p>
    <w:p w14:paraId="06595E05">
      <w:pPr>
        <w:pStyle w:val="18"/>
        <w:tabs>
          <w:tab w:val="right" w:leader="dot" w:pos="8845"/>
        </w:tabs>
      </w:pPr>
      <w:r>
        <w:fldChar w:fldCharType="begin"/>
      </w:r>
      <w:r>
        <w:instrText xml:space="preserve"> HYPERLINK \l _Toc2548 </w:instrText>
      </w:r>
      <w:r>
        <w:fldChar w:fldCharType="separate"/>
      </w:r>
      <w:r>
        <w:rPr>
          <w:rFonts w:hint="eastAsia"/>
          <w:lang w:val="en-US" w:eastAsia="zh-CN"/>
        </w:rPr>
        <w:t>表12</w:t>
      </w:r>
      <w:r>
        <w:rPr>
          <w:rFonts w:hint="eastAsia"/>
        </w:rPr>
        <w:t>中职学校</w:t>
      </w:r>
      <w:r>
        <w:rPr>
          <w:rFonts w:hint="eastAsia"/>
          <w:lang w:val="en-US" w:eastAsia="zh-CN"/>
        </w:rPr>
        <w:t>学生文艺展演获奖情况一览表</w:t>
      </w:r>
      <w:r>
        <w:tab/>
      </w:r>
      <w:r>
        <w:fldChar w:fldCharType="begin"/>
      </w:r>
      <w:r>
        <w:instrText xml:space="preserve"> PAGEREF _Toc2548 \h </w:instrText>
      </w:r>
      <w:r>
        <w:fldChar w:fldCharType="separate"/>
      </w:r>
      <w:r>
        <w:t>37</w:t>
      </w:r>
      <w:r>
        <w:fldChar w:fldCharType="end"/>
      </w:r>
      <w:r>
        <w:fldChar w:fldCharType="end"/>
      </w:r>
    </w:p>
    <w:p w14:paraId="2CCCE8E8">
      <w:pPr>
        <w:pStyle w:val="18"/>
        <w:tabs>
          <w:tab w:val="right" w:leader="dot" w:pos="8845"/>
        </w:tabs>
      </w:pPr>
      <w:r>
        <w:fldChar w:fldCharType="begin"/>
      </w:r>
      <w:r>
        <w:instrText xml:space="preserve"> HYPERLINK \l _Toc22742 </w:instrText>
      </w:r>
      <w:r>
        <w:fldChar w:fldCharType="separate"/>
      </w:r>
      <w:r>
        <w:rPr>
          <w:rFonts w:hint="eastAsia"/>
          <w:lang w:val="en-US" w:eastAsia="zh-CN"/>
        </w:rPr>
        <w:t xml:space="preserve">表13 </w:t>
      </w:r>
      <w:r>
        <w:rPr>
          <w:rFonts w:hint="eastAsia"/>
        </w:rPr>
        <w:t>中职学校</w:t>
      </w:r>
      <w:r>
        <w:rPr>
          <w:rFonts w:hint="eastAsia"/>
          <w:lang w:val="en-US" w:eastAsia="zh-CN"/>
        </w:rPr>
        <w:t>学生个人其他获奖、荣誉表彰统计表</w:t>
      </w:r>
      <w:r>
        <w:tab/>
      </w:r>
      <w:r>
        <w:fldChar w:fldCharType="begin"/>
      </w:r>
      <w:r>
        <w:instrText xml:space="preserve"> PAGEREF _Toc22742 \h </w:instrText>
      </w:r>
      <w:r>
        <w:fldChar w:fldCharType="separate"/>
      </w:r>
      <w:r>
        <w:t>37</w:t>
      </w:r>
      <w:r>
        <w:fldChar w:fldCharType="end"/>
      </w:r>
      <w:r>
        <w:fldChar w:fldCharType="end"/>
      </w:r>
    </w:p>
    <w:p w14:paraId="14D4A34A">
      <w:pPr>
        <w:pStyle w:val="18"/>
        <w:tabs>
          <w:tab w:val="right" w:leader="dot" w:pos="8845"/>
        </w:tabs>
      </w:pPr>
      <w:r>
        <w:fldChar w:fldCharType="begin"/>
      </w:r>
      <w:r>
        <w:instrText xml:space="preserve"> HYPERLINK \l _Toc24693 </w:instrText>
      </w:r>
      <w:r>
        <w:fldChar w:fldCharType="separate"/>
      </w:r>
      <w:r>
        <w:rPr>
          <w:rFonts w:hint="eastAsia"/>
          <w:lang w:val="en-US" w:eastAsia="zh-CN"/>
        </w:rPr>
        <w:t>表14 满意度调查表</w:t>
      </w:r>
      <w:r>
        <w:tab/>
      </w:r>
      <w:r>
        <w:fldChar w:fldCharType="begin"/>
      </w:r>
      <w:r>
        <w:instrText xml:space="preserve"> PAGEREF _Toc24693 \h </w:instrText>
      </w:r>
      <w:r>
        <w:fldChar w:fldCharType="separate"/>
      </w:r>
      <w:r>
        <w:t>42</w:t>
      </w:r>
      <w:r>
        <w:fldChar w:fldCharType="end"/>
      </w:r>
      <w:r>
        <w:fldChar w:fldCharType="end"/>
      </w:r>
    </w:p>
    <w:p w14:paraId="1904A3A2">
      <w:pPr>
        <w:pStyle w:val="18"/>
        <w:tabs>
          <w:tab w:val="right" w:leader="dot" w:pos="8845"/>
        </w:tabs>
      </w:pPr>
      <w:r>
        <w:fldChar w:fldCharType="begin"/>
      </w:r>
      <w:r>
        <w:instrText xml:space="preserve"> HYPERLINK \l _Toc5880 </w:instrText>
      </w:r>
      <w:r>
        <w:fldChar w:fldCharType="separate"/>
      </w:r>
      <w:r>
        <w:rPr>
          <w:rFonts w:hint="eastAsia"/>
          <w:lang w:val="en-US" w:eastAsia="zh-CN"/>
        </w:rPr>
        <w:t>表15 服务贡献表</w:t>
      </w:r>
      <w:r>
        <w:tab/>
      </w:r>
      <w:r>
        <w:fldChar w:fldCharType="begin"/>
      </w:r>
      <w:r>
        <w:instrText xml:space="preserve"> PAGEREF _Toc5880 \h </w:instrText>
      </w:r>
      <w:r>
        <w:fldChar w:fldCharType="separate"/>
      </w:r>
      <w:r>
        <w:t>48</w:t>
      </w:r>
      <w:r>
        <w:fldChar w:fldCharType="end"/>
      </w:r>
      <w:r>
        <w:fldChar w:fldCharType="end"/>
      </w:r>
    </w:p>
    <w:p w14:paraId="01AC6628">
      <w:pPr>
        <w:pStyle w:val="18"/>
        <w:tabs>
          <w:tab w:val="right" w:leader="dot" w:pos="8845"/>
        </w:tabs>
      </w:pPr>
      <w:r>
        <w:fldChar w:fldCharType="begin"/>
      </w:r>
      <w:r>
        <w:instrText xml:space="preserve"> HYPERLINK \l _Toc19641 </w:instrText>
      </w:r>
      <w:r>
        <w:fldChar w:fldCharType="separate"/>
      </w:r>
      <w:r>
        <w:rPr>
          <w:rFonts w:hint="eastAsia"/>
          <w:lang w:val="en-US" w:eastAsia="zh-CN"/>
        </w:rPr>
        <w:t xml:space="preserve">表16 </w:t>
      </w:r>
      <w:r>
        <w:rPr>
          <w:rFonts w:hint="eastAsia"/>
        </w:rPr>
        <w:t>中职学校</w:t>
      </w:r>
      <w:r>
        <w:rPr>
          <w:rFonts w:hint="eastAsia"/>
          <w:lang w:val="en-US" w:eastAsia="zh-CN"/>
        </w:rPr>
        <w:t>精准扶贫进行一览表</w:t>
      </w:r>
      <w:r>
        <w:tab/>
      </w:r>
      <w:r>
        <w:fldChar w:fldCharType="begin"/>
      </w:r>
      <w:r>
        <w:instrText xml:space="preserve"> PAGEREF _Toc19641 \h </w:instrText>
      </w:r>
      <w:r>
        <w:fldChar w:fldCharType="separate"/>
      </w:r>
      <w:r>
        <w:t>51</w:t>
      </w:r>
      <w:r>
        <w:fldChar w:fldCharType="end"/>
      </w:r>
      <w:r>
        <w:fldChar w:fldCharType="end"/>
      </w:r>
    </w:p>
    <w:p w14:paraId="41DE2F31">
      <w:pPr>
        <w:pStyle w:val="18"/>
        <w:tabs>
          <w:tab w:val="right" w:leader="dot" w:pos="8845"/>
        </w:tabs>
      </w:pPr>
      <w:r>
        <w:fldChar w:fldCharType="begin"/>
      </w:r>
      <w:r>
        <w:instrText xml:space="preserve"> HYPERLINK \l _Toc6982 </w:instrText>
      </w:r>
      <w:r>
        <w:fldChar w:fldCharType="separate"/>
      </w:r>
      <w:r>
        <w:rPr>
          <w:rFonts w:hint="eastAsia"/>
          <w:lang w:val="en-US" w:eastAsia="zh-CN"/>
        </w:rPr>
        <w:t xml:space="preserve">表17 </w:t>
      </w:r>
      <w:r>
        <w:rPr>
          <w:rFonts w:hint="eastAsia"/>
        </w:rPr>
        <w:t>中职学校</w:t>
      </w:r>
      <w:r>
        <w:rPr>
          <w:rFonts w:hint="eastAsia"/>
          <w:lang w:val="en-US" w:eastAsia="zh-CN"/>
        </w:rPr>
        <w:t>办学经费收入情况一览表（单位：万元）</w:t>
      </w:r>
      <w:r>
        <w:tab/>
      </w:r>
      <w:r>
        <w:fldChar w:fldCharType="begin"/>
      </w:r>
      <w:r>
        <w:instrText xml:space="preserve"> PAGEREF _Toc6982 \h </w:instrText>
      </w:r>
      <w:r>
        <w:fldChar w:fldCharType="separate"/>
      </w:r>
      <w:r>
        <w:t>72</w:t>
      </w:r>
      <w:r>
        <w:fldChar w:fldCharType="end"/>
      </w:r>
      <w:r>
        <w:fldChar w:fldCharType="end"/>
      </w:r>
    </w:p>
    <w:p w14:paraId="70B7A1A4">
      <w:pPr>
        <w:pStyle w:val="18"/>
        <w:tabs>
          <w:tab w:val="right" w:leader="dot" w:pos="8845"/>
        </w:tabs>
      </w:pPr>
      <w:r>
        <w:fldChar w:fldCharType="begin"/>
      </w:r>
      <w:r>
        <w:instrText xml:space="preserve"> HYPERLINK \l _Toc11554 </w:instrText>
      </w:r>
      <w:r>
        <w:fldChar w:fldCharType="separate"/>
      </w:r>
      <w:r>
        <w:rPr>
          <w:rFonts w:hint="eastAsia"/>
          <w:lang w:val="en-US" w:eastAsia="zh-CN"/>
        </w:rPr>
        <w:t>表18 中职学校办学经费支出情况一览表（单位：万元）</w:t>
      </w:r>
      <w:r>
        <w:tab/>
      </w:r>
      <w:r>
        <w:fldChar w:fldCharType="begin"/>
      </w:r>
      <w:r>
        <w:instrText xml:space="preserve"> PAGEREF _Toc11554 \h </w:instrText>
      </w:r>
      <w:r>
        <w:fldChar w:fldCharType="separate"/>
      </w:r>
      <w:r>
        <w:t>73</w:t>
      </w:r>
      <w:r>
        <w:fldChar w:fldCharType="end"/>
      </w:r>
      <w:r>
        <w:fldChar w:fldCharType="end"/>
      </w:r>
    </w:p>
    <w:p w14:paraId="0B02ACD6">
      <w:pPr>
        <w:pStyle w:val="18"/>
        <w:bidi w:val="0"/>
      </w:pPr>
      <w:r>
        <w:fldChar w:fldCharType="end"/>
      </w:r>
    </w:p>
    <w:p w14:paraId="5E5A9702">
      <w:pPr>
        <w:rPr>
          <w:rFonts w:hint="eastAsia" w:ascii="黑体" w:hAnsi="黑体" w:eastAsia="黑体" w:cs="黑体"/>
          <w:b w:val="0"/>
          <w:bCs/>
          <w:color w:val="auto"/>
          <w:sz w:val="36"/>
          <w:szCs w:val="36"/>
        </w:rPr>
      </w:pPr>
      <w:r>
        <w:rPr>
          <w:rFonts w:hint="eastAsia" w:ascii="黑体" w:hAnsi="黑体" w:eastAsia="黑体" w:cs="黑体"/>
          <w:b w:val="0"/>
          <w:bCs/>
          <w:color w:val="auto"/>
          <w:sz w:val="36"/>
          <w:szCs w:val="36"/>
        </w:rPr>
        <w:br w:type="page"/>
      </w:r>
    </w:p>
    <w:p w14:paraId="67340F1B">
      <w:pPr>
        <w:pStyle w:val="17"/>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jc w:val="center"/>
        <w:textAlignment w:val="auto"/>
        <w:rPr>
          <w:rFonts w:hint="eastAsia" w:ascii="方正仿宋_GBK" w:hAnsi="方正仿宋_GBK" w:eastAsia="方正仿宋_GBK" w:cs="方正仿宋_GBK"/>
          <w:bCs/>
          <w:color w:val="auto"/>
          <w:kern w:val="2"/>
          <w:sz w:val="21"/>
          <w:szCs w:val="24"/>
          <w:lang w:val="en-US" w:eastAsia="zh-CN" w:bidi="ar-SA"/>
        </w:rPr>
      </w:pPr>
      <w:r>
        <w:rPr>
          <w:rFonts w:hint="eastAsia" w:ascii="黑体" w:hAnsi="黑体" w:eastAsia="黑体" w:cs="黑体"/>
          <w:b w:val="0"/>
          <w:bCs/>
          <w:color w:val="auto"/>
          <w:sz w:val="36"/>
          <w:szCs w:val="36"/>
        </w:rPr>
        <w:t>附图目录</w:t>
      </w:r>
      <w:r>
        <w:rPr>
          <w:rFonts w:hint="eastAsia" w:ascii="方正仿宋_GBK" w:hAnsi="方正仿宋_GBK" w:eastAsia="方正仿宋_GBK" w:cs="方正仿宋_GBK"/>
          <w:bCs/>
          <w:color w:val="auto"/>
          <w:sz w:val="24"/>
          <w:szCs w:val="24"/>
        </w:rPr>
        <w:fldChar w:fldCharType="begin"/>
      </w:r>
      <w:r>
        <w:rPr>
          <w:rFonts w:hint="eastAsia" w:ascii="方正仿宋_GBK" w:hAnsi="方正仿宋_GBK" w:eastAsia="方正仿宋_GBK" w:cs="方正仿宋_GBK"/>
          <w:bCs/>
          <w:color w:val="auto"/>
          <w:sz w:val="24"/>
          <w:szCs w:val="24"/>
        </w:rPr>
        <w:instrText xml:space="preserve">TOC \t "图表目录" \h \c</w:instrText>
      </w:r>
      <w:r>
        <w:rPr>
          <w:rFonts w:hint="eastAsia" w:ascii="方正仿宋_GBK" w:hAnsi="方正仿宋_GBK" w:eastAsia="方正仿宋_GBK" w:cs="方正仿宋_GBK"/>
          <w:bCs/>
          <w:color w:val="auto"/>
          <w:sz w:val="24"/>
          <w:szCs w:val="24"/>
        </w:rPr>
        <w:fldChar w:fldCharType="separate"/>
      </w:r>
    </w:p>
    <w:p w14:paraId="5FA40667">
      <w:pPr>
        <w:pStyle w:val="18"/>
        <w:tabs>
          <w:tab w:val="right" w:leader="dot" w:pos="8845"/>
        </w:tabs>
      </w:pPr>
      <w:r>
        <w:rPr>
          <w:rFonts w:hint="eastAsia"/>
        </w:rPr>
        <w:fldChar w:fldCharType="begin"/>
      </w:r>
      <w:r>
        <w:rPr>
          <w:rFonts w:hint="eastAsia"/>
        </w:rPr>
        <w:instrText xml:space="preserve"> HYPERLINK \l _Toc12192 </w:instrText>
      </w:r>
      <w:r>
        <w:rPr>
          <w:rFonts w:hint="eastAsia"/>
        </w:rPr>
        <w:fldChar w:fldCharType="separate"/>
      </w:r>
      <w:r>
        <w:rPr>
          <w:rFonts w:hint="eastAsia"/>
        </w:rPr>
        <w:t>图</w:t>
      </w:r>
      <w:r>
        <w:t>1</w:t>
      </w:r>
      <w:r>
        <w:rPr>
          <w:rFonts w:hint="eastAsia"/>
          <w:lang w:val="en-US" w:eastAsia="zh-CN"/>
        </w:rPr>
        <w:t xml:space="preserve"> </w:t>
      </w:r>
      <w:r>
        <w:rPr>
          <w:rFonts w:hint="eastAsia"/>
        </w:rPr>
        <w:t>中高职对接校际联合研讨会</w:t>
      </w:r>
      <w:r>
        <w:tab/>
      </w:r>
      <w:r>
        <w:fldChar w:fldCharType="begin"/>
      </w:r>
      <w:r>
        <w:instrText xml:space="preserve"> PAGEREF _Toc12192 \h </w:instrText>
      </w:r>
      <w:r>
        <w:fldChar w:fldCharType="separate"/>
      </w:r>
      <w:r>
        <w:t>82</w:t>
      </w:r>
      <w:r>
        <w:fldChar w:fldCharType="end"/>
      </w:r>
      <w:r>
        <w:rPr>
          <w:rFonts w:hint="eastAsia"/>
        </w:rPr>
        <w:fldChar w:fldCharType="end"/>
      </w:r>
    </w:p>
    <w:p w14:paraId="57DD1280">
      <w:pPr>
        <w:pStyle w:val="18"/>
        <w:tabs>
          <w:tab w:val="right" w:leader="dot" w:pos="8845"/>
        </w:tabs>
      </w:pPr>
      <w:r>
        <w:rPr>
          <w:rFonts w:hint="eastAsia"/>
        </w:rPr>
        <w:fldChar w:fldCharType="begin"/>
      </w:r>
      <w:r>
        <w:rPr>
          <w:rFonts w:hint="eastAsia"/>
        </w:rPr>
        <w:instrText xml:space="preserve"> HYPERLINK \l _Toc12350 </w:instrText>
      </w:r>
      <w:r>
        <w:rPr>
          <w:rFonts w:hint="eastAsia"/>
        </w:rPr>
        <w:fldChar w:fldCharType="separate"/>
      </w:r>
      <w:r>
        <w:rPr>
          <w:rFonts w:hint="eastAsia"/>
        </w:rPr>
        <w:t>图</w:t>
      </w:r>
      <w:r>
        <w:t>2</w:t>
      </w:r>
      <w:r>
        <w:rPr>
          <w:rFonts w:hint="eastAsia"/>
          <w:lang w:val="en-US" w:eastAsia="zh-CN"/>
        </w:rPr>
        <w:t xml:space="preserve"> </w:t>
      </w:r>
      <w:r>
        <w:rPr>
          <w:rFonts w:hint="eastAsia"/>
        </w:rPr>
        <w:t>区域美术教师联合教研</w:t>
      </w:r>
      <w:r>
        <w:tab/>
      </w:r>
      <w:r>
        <w:fldChar w:fldCharType="begin"/>
      </w:r>
      <w:r>
        <w:instrText xml:space="preserve"> PAGEREF _Toc12350 \h </w:instrText>
      </w:r>
      <w:r>
        <w:fldChar w:fldCharType="separate"/>
      </w:r>
      <w:r>
        <w:t>83</w:t>
      </w:r>
      <w:r>
        <w:fldChar w:fldCharType="end"/>
      </w:r>
      <w:r>
        <w:rPr>
          <w:rFonts w:hint="eastAsia"/>
        </w:rPr>
        <w:fldChar w:fldCharType="end"/>
      </w:r>
    </w:p>
    <w:p w14:paraId="097B4D2A">
      <w:pPr>
        <w:pStyle w:val="18"/>
        <w:tabs>
          <w:tab w:val="right" w:leader="dot" w:pos="8845"/>
        </w:tabs>
      </w:pPr>
      <w:r>
        <w:rPr>
          <w:rFonts w:hint="eastAsia"/>
        </w:rPr>
        <w:fldChar w:fldCharType="begin"/>
      </w:r>
      <w:r>
        <w:rPr>
          <w:rFonts w:hint="eastAsia"/>
        </w:rPr>
        <w:instrText xml:space="preserve"> HYPERLINK \l _Toc19909 </w:instrText>
      </w:r>
      <w:r>
        <w:rPr>
          <w:rFonts w:hint="eastAsia"/>
        </w:rPr>
        <w:fldChar w:fldCharType="separate"/>
      </w:r>
      <w:r>
        <w:rPr>
          <w:rFonts w:hint="eastAsia"/>
        </w:rPr>
        <w:t>图</w:t>
      </w:r>
      <w:r>
        <w:t>3</w:t>
      </w:r>
      <w:r>
        <w:rPr>
          <w:rFonts w:hint="eastAsia"/>
          <w:lang w:val="en-US" w:eastAsia="zh-CN"/>
        </w:rPr>
        <w:t xml:space="preserve"> </w:t>
      </w:r>
      <w:r>
        <w:rPr>
          <w:rFonts w:hint="eastAsia"/>
        </w:rPr>
        <w:t>钉钉“智慧龙职”PC版界面</w:t>
      </w:r>
      <w:r>
        <w:tab/>
      </w:r>
      <w:r>
        <w:fldChar w:fldCharType="begin"/>
      </w:r>
      <w:r>
        <w:instrText xml:space="preserve"> PAGEREF _Toc19909 \h </w:instrText>
      </w:r>
      <w:r>
        <w:fldChar w:fldCharType="separate"/>
      </w:r>
      <w:r>
        <w:t>84</w:t>
      </w:r>
      <w:r>
        <w:fldChar w:fldCharType="end"/>
      </w:r>
      <w:r>
        <w:rPr>
          <w:rFonts w:hint="eastAsia"/>
        </w:rPr>
        <w:fldChar w:fldCharType="end"/>
      </w:r>
    </w:p>
    <w:p w14:paraId="61ADE0C7">
      <w:pPr>
        <w:pStyle w:val="18"/>
        <w:tabs>
          <w:tab w:val="right" w:leader="dot" w:pos="8845"/>
        </w:tabs>
      </w:pPr>
      <w:r>
        <w:rPr>
          <w:rFonts w:hint="eastAsia"/>
        </w:rPr>
        <w:fldChar w:fldCharType="begin"/>
      </w:r>
      <w:r>
        <w:rPr>
          <w:rFonts w:hint="eastAsia"/>
        </w:rPr>
        <w:instrText xml:space="preserve"> HYPERLINK \l _Toc19965 </w:instrText>
      </w:r>
      <w:r>
        <w:rPr>
          <w:rFonts w:hint="eastAsia"/>
        </w:rPr>
        <w:fldChar w:fldCharType="separate"/>
      </w:r>
      <w:r>
        <w:rPr>
          <w:rFonts w:hint="eastAsia"/>
        </w:rPr>
        <w:t>图</w:t>
      </w:r>
      <w:r>
        <w:t>4</w:t>
      </w:r>
      <w:r>
        <w:rPr>
          <w:rFonts w:hint="eastAsia"/>
          <w:lang w:val="en-US" w:eastAsia="zh-CN"/>
        </w:rPr>
        <w:t xml:space="preserve"> </w:t>
      </w:r>
      <w:r>
        <w:rPr>
          <w:rFonts w:hint="eastAsia"/>
        </w:rPr>
        <w:t>钉钉“智慧龙职”移动端界面</w:t>
      </w:r>
      <w:r>
        <w:tab/>
      </w:r>
      <w:r>
        <w:fldChar w:fldCharType="begin"/>
      </w:r>
      <w:r>
        <w:instrText xml:space="preserve"> PAGEREF _Toc19965 \h </w:instrText>
      </w:r>
      <w:r>
        <w:fldChar w:fldCharType="separate"/>
      </w:r>
      <w:r>
        <w:t>85</w:t>
      </w:r>
      <w:r>
        <w:fldChar w:fldCharType="end"/>
      </w:r>
      <w:r>
        <w:rPr>
          <w:rFonts w:hint="eastAsia"/>
        </w:rPr>
        <w:fldChar w:fldCharType="end"/>
      </w:r>
    </w:p>
    <w:p w14:paraId="4B6F345E">
      <w:pPr>
        <w:pStyle w:val="18"/>
        <w:tabs>
          <w:tab w:val="right" w:leader="dot" w:pos="8845"/>
        </w:tabs>
      </w:pPr>
      <w:r>
        <w:rPr>
          <w:rFonts w:hint="eastAsia"/>
        </w:rPr>
        <w:fldChar w:fldCharType="begin"/>
      </w:r>
      <w:r>
        <w:rPr>
          <w:rFonts w:hint="eastAsia"/>
        </w:rPr>
        <w:instrText xml:space="preserve"> HYPERLINK \l _Toc27092 </w:instrText>
      </w:r>
      <w:r>
        <w:rPr>
          <w:rFonts w:hint="eastAsia"/>
        </w:rPr>
        <w:fldChar w:fldCharType="separate"/>
      </w:r>
      <w:r>
        <w:rPr>
          <w:rFonts w:hint="eastAsia"/>
        </w:rPr>
        <w:t>图</w:t>
      </w:r>
      <w:r>
        <w:t>5</w:t>
      </w:r>
      <w:r>
        <w:rPr>
          <w:rFonts w:hint="eastAsia"/>
          <w:lang w:val="en-US" w:eastAsia="zh-CN"/>
        </w:rPr>
        <w:t xml:space="preserve"> </w:t>
      </w:r>
      <w:r>
        <w:rPr>
          <w:rFonts w:hint="eastAsia"/>
        </w:rPr>
        <w:t>校长在“浩阅”书社进行首场读书分享</w:t>
      </w:r>
      <w:r>
        <w:tab/>
      </w:r>
      <w:r>
        <w:fldChar w:fldCharType="begin"/>
      </w:r>
      <w:r>
        <w:instrText xml:space="preserve"> PAGEREF _Toc27092 \h </w:instrText>
      </w:r>
      <w:r>
        <w:fldChar w:fldCharType="separate"/>
      </w:r>
      <w:r>
        <w:t>86</w:t>
      </w:r>
      <w:r>
        <w:fldChar w:fldCharType="end"/>
      </w:r>
      <w:r>
        <w:rPr>
          <w:rFonts w:hint="eastAsia"/>
        </w:rPr>
        <w:fldChar w:fldCharType="end"/>
      </w:r>
    </w:p>
    <w:p w14:paraId="76D03D9E">
      <w:pPr>
        <w:pStyle w:val="18"/>
        <w:tabs>
          <w:tab w:val="right" w:leader="dot" w:pos="8845"/>
        </w:tabs>
      </w:pPr>
      <w:r>
        <w:rPr>
          <w:rFonts w:hint="eastAsia"/>
        </w:rPr>
        <w:fldChar w:fldCharType="begin"/>
      </w:r>
      <w:r>
        <w:rPr>
          <w:rFonts w:hint="eastAsia"/>
        </w:rPr>
        <w:instrText xml:space="preserve"> HYPERLINK \l _Toc1821 </w:instrText>
      </w:r>
      <w:r>
        <w:rPr>
          <w:rFonts w:hint="eastAsia"/>
        </w:rPr>
        <w:fldChar w:fldCharType="separate"/>
      </w:r>
      <w:r>
        <w:rPr>
          <w:rFonts w:hint="eastAsia"/>
        </w:rPr>
        <w:t>图</w:t>
      </w:r>
      <w:r>
        <w:t>7</w:t>
      </w:r>
      <w:r>
        <w:rPr>
          <w:rFonts w:hint="eastAsia"/>
          <w:lang w:val="en-US" w:eastAsia="zh-CN"/>
        </w:rPr>
        <w:t xml:space="preserve"> </w:t>
      </w:r>
      <w:r>
        <w:rPr>
          <w:rFonts w:hint="eastAsia"/>
        </w:rPr>
        <w:t>学校“待饭未来”图书角</w:t>
      </w:r>
      <w:r>
        <w:tab/>
      </w:r>
      <w:r>
        <w:fldChar w:fldCharType="begin"/>
      </w:r>
      <w:r>
        <w:instrText xml:space="preserve"> PAGEREF _Toc1821 \h </w:instrText>
      </w:r>
      <w:r>
        <w:fldChar w:fldCharType="separate"/>
      </w:r>
      <w:r>
        <w:t>87</w:t>
      </w:r>
      <w:r>
        <w:fldChar w:fldCharType="end"/>
      </w:r>
      <w:r>
        <w:rPr>
          <w:rFonts w:hint="eastAsia"/>
        </w:rPr>
        <w:fldChar w:fldCharType="end"/>
      </w:r>
    </w:p>
    <w:p w14:paraId="3EEC499B">
      <w:pPr>
        <w:pStyle w:val="18"/>
        <w:tabs>
          <w:tab w:val="right" w:leader="dot" w:pos="8845"/>
        </w:tabs>
      </w:pPr>
      <w:r>
        <w:rPr>
          <w:rFonts w:hint="eastAsia"/>
        </w:rPr>
        <w:fldChar w:fldCharType="begin"/>
      </w:r>
      <w:r>
        <w:rPr>
          <w:rFonts w:hint="eastAsia"/>
        </w:rPr>
        <w:instrText xml:space="preserve"> HYPERLINK \l _Toc20450 </w:instrText>
      </w:r>
      <w:r>
        <w:rPr>
          <w:rFonts w:hint="eastAsia"/>
        </w:rPr>
        <w:fldChar w:fldCharType="separate"/>
      </w:r>
      <w:r>
        <w:rPr>
          <w:rFonts w:hint="eastAsia"/>
        </w:rPr>
        <w:t>图</w:t>
      </w:r>
      <w:r>
        <w:rPr>
          <w:rFonts w:hint="eastAsia"/>
          <w:lang w:val="en-US" w:eastAsia="zh-CN"/>
        </w:rPr>
        <w:t xml:space="preserve">8 </w:t>
      </w:r>
      <w:r>
        <w:rPr>
          <w:rFonts w:hint="eastAsia"/>
        </w:rPr>
        <w:t>学校图书角实拍</w:t>
      </w:r>
      <w:r>
        <w:tab/>
      </w:r>
      <w:r>
        <w:fldChar w:fldCharType="begin"/>
      </w:r>
      <w:r>
        <w:instrText xml:space="preserve"> PAGEREF _Toc20450 \h </w:instrText>
      </w:r>
      <w:r>
        <w:fldChar w:fldCharType="separate"/>
      </w:r>
      <w:r>
        <w:t>89</w:t>
      </w:r>
      <w:r>
        <w:fldChar w:fldCharType="end"/>
      </w:r>
      <w:r>
        <w:rPr>
          <w:rFonts w:hint="eastAsia"/>
        </w:rPr>
        <w:fldChar w:fldCharType="end"/>
      </w:r>
    </w:p>
    <w:p w14:paraId="531FA81D">
      <w:pPr>
        <w:pStyle w:val="18"/>
        <w:tabs>
          <w:tab w:val="right" w:leader="dot" w:pos="8845"/>
        </w:tabs>
      </w:pPr>
      <w:r>
        <w:rPr>
          <w:rFonts w:hint="eastAsia"/>
        </w:rPr>
        <w:fldChar w:fldCharType="begin"/>
      </w:r>
      <w:r>
        <w:rPr>
          <w:rFonts w:hint="eastAsia"/>
        </w:rPr>
        <w:instrText xml:space="preserve"> HYPERLINK \l _Toc11745 </w:instrText>
      </w:r>
      <w:r>
        <w:rPr>
          <w:rFonts w:hint="eastAsia"/>
        </w:rPr>
        <w:fldChar w:fldCharType="separate"/>
      </w:r>
      <w:r>
        <w:rPr>
          <w:rFonts w:hint="eastAsia"/>
        </w:rPr>
        <w:t>图</w:t>
      </w:r>
      <w:r>
        <w:rPr>
          <w:rFonts w:hint="eastAsia"/>
          <w:lang w:val="en-US" w:eastAsia="zh-CN"/>
        </w:rPr>
        <w:t xml:space="preserve">9 </w:t>
      </w:r>
      <w:r>
        <w:rPr>
          <w:rFonts w:hint="eastAsia"/>
        </w:rPr>
        <w:t>师生大阅读活动</w:t>
      </w:r>
      <w:r>
        <w:tab/>
      </w:r>
      <w:r>
        <w:fldChar w:fldCharType="begin"/>
      </w:r>
      <w:r>
        <w:instrText xml:space="preserve"> PAGEREF _Toc11745 \h </w:instrText>
      </w:r>
      <w:r>
        <w:fldChar w:fldCharType="separate"/>
      </w:r>
      <w:r>
        <w:t>90</w:t>
      </w:r>
      <w:r>
        <w:fldChar w:fldCharType="end"/>
      </w:r>
      <w:r>
        <w:rPr>
          <w:rFonts w:hint="eastAsia"/>
        </w:rPr>
        <w:fldChar w:fldCharType="end"/>
      </w:r>
    </w:p>
    <w:p w14:paraId="7BB87F00">
      <w:pPr>
        <w:pStyle w:val="18"/>
        <w:tabs>
          <w:tab w:val="right" w:leader="dot" w:pos="8845"/>
        </w:tabs>
      </w:pPr>
      <w:r>
        <w:rPr>
          <w:rFonts w:hint="eastAsia"/>
        </w:rPr>
        <w:fldChar w:fldCharType="begin"/>
      </w:r>
      <w:r>
        <w:rPr>
          <w:rFonts w:hint="eastAsia"/>
        </w:rPr>
        <w:instrText xml:space="preserve"> HYPERLINK \l _Toc23661 </w:instrText>
      </w:r>
      <w:r>
        <w:rPr>
          <w:rFonts w:hint="eastAsia"/>
        </w:rPr>
        <w:fldChar w:fldCharType="separate"/>
      </w:r>
      <w:r>
        <w:t>图1</w:t>
      </w:r>
      <w:r>
        <w:rPr>
          <w:rFonts w:hint="eastAsia"/>
          <w:lang w:val="en-US" w:eastAsia="zh-CN"/>
        </w:rPr>
        <w:t xml:space="preserve">0 </w:t>
      </w:r>
      <w:r>
        <w:t>现代产业学院组织架构</w:t>
      </w:r>
      <w:r>
        <w:tab/>
      </w:r>
      <w:r>
        <w:fldChar w:fldCharType="begin"/>
      </w:r>
      <w:r>
        <w:instrText xml:space="preserve"> PAGEREF _Toc23661 \h </w:instrText>
      </w:r>
      <w:r>
        <w:fldChar w:fldCharType="separate"/>
      </w:r>
      <w:r>
        <w:t>95</w:t>
      </w:r>
      <w:r>
        <w:fldChar w:fldCharType="end"/>
      </w:r>
      <w:r>
        <w:rPr>
          <w:rFonts w:hint="eastAsia"/>
        </w:rPr>
        <w:fldChar w:fldCharType="end"/>
      </w:r>
    </w:p>
    <w:p w14:paraId="1E846841">
      <w:pPr>
        <w:pStyle w:val="18"/>
        <w:tabs>
          <w:tab w:val="right" w:leader="dot" w:pos="8845"/>
        </w:tabs>
      </w:pPr>
      <w:r>
        <w:rPr>
          <w:rFonts w:hint="eastAsia"/>
        </w:rPr>
        <w:fldChar w:fldCharType="begin"/>
      </w:r>
      <w:r>
        <w:rPr>
          <w:rFonts w:hint="eastAsia"/>
        </w:rPr>
        <w:instrText xml:space="preserve"> HYPERLINK \l _Toc5667 </w:instrText>
      </w:r>
      <w:r>
        <w:rPr>
          <w:rFonts w:hint="eastAsia"/>
        </w:rPr>
        <w:fldChar w:fldCharType="separate"/>
      </w:r>
      <w:r>
        <w:rPr>
          <w:rFonts w:hint="eastAsia"/>
        </w:rPr>
        <w:t>图</w:t>
      </w:r>
      <w:r>
        <w:rPr>
          <w:rFonts w:hint="eastAsia"/>
          <w:lang w:val="en-US" w:eastAsia="zh-CN"/>
        </w:rPr>
        <w:t xml:space="preserve">11 </w:t>
      </w:r>
      <w:r>
        <w:rPr>
          <w:rFonts w:hint="eastAsia"/>
        </w:rPr>
        <w:t>校企共同开发的《新媒体营销》成为教育部认定的国家在线精品课程</w:t>
      </w:r>
      <w:r>
        <w:tab/>
      </w:r>
      <w:r>
        <w:fldChar w:fldCharType="begin"/>
      </w:r>
      <w:r>
        <w:instrText xml:space="preserve"> PAGEREF _Toc5667 \h </w:instrText>
      </w:r>
      <w:r>
        <w:fldChar w:fldCharType="separate"/>
      </w:r>
      <w:r>
        <w:t>97</w:t>
      </w:r>
      <w:r>
        <w:fldChar w:fldCharType="end"/>
      </w:r>
      <w:r>
        <w:rPr>
          <w:rFonts w:hint="eastAsia"/>
        </w:rPr>
        <w:fldChar w:fldCharType="end"/>
      </w:r>
    </w:p>
    <w:p w14:paraId="266763B5">
      <w:pPr>
        <w:pStyle w:val="18"/>
        <w:tabs>
          <w:tab w:val="right" w:leader="dot" w:pos="8845"/>
        </w:tabs>
      </w:pPr>
      <w:r>
        <w:rPr>
          <w:rFonts w:hint="eastAsia"/>
        </w:rPr>
        <w:fldChar w:fldCharType="begin"/>
      </w:r>
      <w:r>
        <w:rPr>
          <w:rFonts w:hint="eastAsia"/>
        </w:rPr>
        <w:instrText xml:space="preserve"> HYPERLINK \l _Toc29103 </w:instrText>
      </w:r>
      <w:r>
        <w:rPr>
          <w:rFonts w:hint="eastAsia"/>
        </w:rPr>
        <w:fldChar w:fldCharType="separate"/>
      </w:r>
      <w:r>
        <w:rPr>
          <w:rFonts w:hint="eastAsia"/>
        </w:rPr>
        <w:t>图</w:t>
      </w:r>
      <w:r>
        <w:t>1</w:t>
      </w:r>
      <w:r>
        <w:rPr>
          <w:rFonts w:hint="eastAsia"/>
          <w:lang w:val="en-US" w:eastAsia="zh-CN"/>
        </w:rPr>
        <w:t xml:space="preserve">2 </w:t>
      </w:r>
      <w:r>
        <w:rPr>
          <w:rFonts w:hint="eastAsia"/>
        </w:rPr>
        <w:t>盲人保健按摩培训开班仪式</w:t>
      </w:r>
      <w:r>
        <w:tab/>
      </w:r>
      <w:r>
        <w:fldChar w:fldCharType="begin"/>
      </w:r>
      <w:r>
        <w:instrText xml:space="preserve"> PAGEREF _Toc29103 \h </w:instrText>
      </w:r>
      <w:r>
        <w:fldChar w:fldCharType="separate"/>
      </w:r>
      <w:r>
        <w:t>98</w:t>
      </w:r>
      <w:r>
        <w:fldChar w:fldCharType="end"/>
      </w:r>
      <w:r>
        <w:rPr>
          <w:rFonts w:hint="eastAsia"/>
        </w:rPr>
        <w:fldChar w:fldCharType="end"/>
      </w:r>
    </w:p>
    <w:p w14:paraId="468430EE">
      <w:pPr>
        <w:pStyle w:val="18"/>
        <w:tabs>
          <w:tab w:val="right" w:leader="dot" w:pos="8845"/>
        </w:tabs>
      </w:pPr>
      <w:r>
        <w:rPr>
          <w:rFonts w:hint="eastAsia"/>
        </w:rPr>
        <w:fldChar w:fldCharType="begin"/>
      </w:r>
      <w:r>
        <w:rPr>
          <w:rFonts w:hint="eastAsia"/>
        </w:rPr>
        <w:instrText xml:space="preserve"> HYPERLINK \l _Toc25489 </w:instrText>
      </w:r>
      <w:r>
        <w:rPr>
          <w:rFonts w:hint="eastAsia"/>
        </w:rPr>
        <w:fldChar w:fldCharType="separate"/>
      </w:r>
      <w:r>
        <w:rPr>
          <w:rFonts w:hint="eastAsia"/>
        </w:rPr>
        <w:t>图</w:t>
      </w:r>
      <w:r>
        <w:rPr>
          <w:rFonts w:hint="eastAsia"/>
          <w:lang w:val="en-US" w:eastAsia="zh-CN"/>
        </w:rPr>
        <w:t xml:space="preserve">13 </w:t>
      </w:r>
      <w:r>
        <w:rPr>
          <w:rFonts w:hint="eastAsia"/>
        </w:rPr>
        <w:t>李坚会长授课现场</w:t>
      </w:r>
      <w:r>
        <w:tab/>
      </w:r>
      <w:r>
        <w:fldChar w:fldCharType="begin"/>
      </w:r>
      <w:r>
        <w:instrText xml:space="preserve"> PAGEREF _Toc25489 \h </w:instrText>
      </w:r>
      <w:r>
        <w:fldChar w:fldCharType="separate"/>
      </w:r>
      <w:r>
        <w:t>99</w:t>
      </w:r>
      <w:r>
        <w:fldChar w:fldCharType="end"/>
      </w:r>
      <w:r>
        <w:rPr>
          <w:rFonts w:hint="eastAsia"/>
        </w:rPr>
        <w:fldChar w:fldCharType="end"/>
      </w:r>
    </w:p>
    <w:p w14:paraId="611B95ED">
      <w:pPr>
        <w:pStyle w:val="18"/>
        <w:tabs>
          <w:tab w:val="right" w:leader="dot" w:pos="8845"/>
        </w:tabs>
      </w:pPr>
      <w:r>
        <w:rPr>
          <w:rFonts w:hint="eastAsia"/>
        </w:rPr>
        <w:fldChar w:fldCharType="begin"/>
      </w:r>
      <w:r>
        <w:rPr>
          <w:rFonts w:hint="eastAsia"/>
        </w:rPr>
        <w:instrText xml:space="preserve"> HYPERLINK \l _Toc4876 </w:instrText>
      </w:r>
      <w:r>
        <w:rPr>
          <w:rFonts w:hint="eastAsia"/>
        </w:rPr>
        <w:fldChar w:fldCharType="separate"/>
      </w:r>
      <w:r>
        <w:rPr>
          <w:rFonts w:hint="eastAsia"/>
        </w:rPr>
        <w:t>图</w:t>
      </w:r>
      <w:r>
        <w:rPr>
          <w:rFonts w:hint="eastAsia"/>
          <w:lang w:val="en-US" w:eastAsia="zh-CN"/>
        </w:rPr>
        <w:t xml:space="preserve">14 </w:t>
      </w:r>
      <w:r>
        <w:rPr>
          <w:rFonts w:hint="eastAsia"/>
        </w:rPr>
        <w:t>社区茶艺培训</w:t>
      </w:r>
      <w:r>
        <w:tab/>
      </w:r>
      <w:r>
        <w:fldChar w:fldCharType="begin"/>
      </w:r>
      <w:r>
        <w:instrText xml:space="preserve"> PAGEREF _Toc4876 \h </w:instrText>
      </w:r>
      <w:r>
        <w:fldChar w:fldCharType="separate"/>
      </w:r>
      <w:r>
        <w:t>102</w:t>
      </w:r>
      <w:r>
        <w:fldChar w:fldCharType="end"/>
      </w:r>
      <w:r>
        <w:rPr>
          <w:rFonts w:hint="eastAsia"/>
        </w:rPr>
        <w:fldChar w:fldCharType="end"/>
      </w:r>
    </w:p>
    <w:p w14:paraId="445CC0FB">
      <w:pPr>
        <w:pStyle w:val="18"/>
        <w:tabs>
          <w:tab w:val="right" w:leader="dot" w:pos="8845"/>
        </w:tabs>
      </w:pPr>
      <w:r>
        <w:rPr>
          <w:rFonts w:hint="eastAsia"/>
        </w:rPr>
        <w:fldChar w:fldCharType="begin"/>
      </w:r>
      <w:r>
        <w:rPr>
          <w:rFonts w:hint="eastAsia"/>
        </w:rPr>
        <w:instrText xml:space="preserve"> HYPERLINK \l _Toc32039 </w:instrText>
      </w:r>
      <w:r>
        <w:rPr>
          <w:rFonts w:hint="eastAsia"/>
        </w:rPr>
        <w:fldChar w:fldCharType="separate"/>
      </w:r>
      <w:r>
        <w:rPr>
          <w:rFonts w:hint="eastAsia"/>
        </w:rPr>
        <w:t>图</w:t>
      </w:r>
      <w:r>
        <w:rPr>
          <w:rFonts w:hint="eastAsia"/>
          <w:lang w:val="en-US" w:eastAsia="zh-CN"/>
        </w:rPr>
        <w:t xml:space="preserve">15 </w:t>
      </w:r>
      <w:r>
        <w:rPr>
          <w:rFonts w:hint="eastAsia"/>
        </w:rPr>
        <w:t>社区插花培训</w:t>
      </w:r>
      <w:r>
        <w:tab/>
      </w:r>
      <w:r>
        <w:fldChar w:fldCharType="begin"/>
      </w:r>
      <w:r>
        <w:instrText xml:space="preserve"> PAGEREF _Toc32039 \h </w:instrText>
      </w:r>
      <w:r>
        <w:fldChar w:fldCharType="separate"/>
      </w:r>
      <w:r>
        <w:t>103</w:t>
      </w:r>
      <w:r>
        <w:fldChar w:fldCharType="end"/>
      </w:r>
      <w:r>
        <w:rPr>
          <w:rFonts w:hint="eastAsia"/>
        </w:rPr>
        <w:fldChar w:fldCharType="end"/>
      </w:r>
    </w:p>
    <w:p w14:paraId="4B6CA06D">
      <w:pPr>
        <w:pStyle w:val="18"/>
        <w:tabs>
          <w:tab w:val="right" w:leader="dot" w:pos="8845"/>
        </w:tabs>
      </w:pPr>
      <w:r>
        <w:rPr>
          <w:rFonts w:hint="eastAsia"/>
        </w:rPr>
        <w:fldChar w:fldCharType="begin"/>
      </w:r>
      <w:r>
        <w:rPr>
          <w:rFonts w:hint="eastAsia"/>
        </w:rPr>
        <w:instrText xml:space="preserve"> HYPERLINK \l _Toc32098 </w:instrText>
      </w:r>
      <w:r>
        <w:rPr>
          <w:rFonts w:hint="eastAsia"/>
        </w:rPr>
        <w:fldChar w:fldCharType="separate"/>
      </w:r>
      <w:r>
        <w:rPr>
          <w:rFonts w:hint="eastAsia"/>
        </w:rPr>
        <w:t>图</w:t>
      </w:r>
      <w:r>
        <w:rPr>
          <w:rFonts w:hint="eastAsia"/>
          <w:lang w:val="en-US" w:eastAsia="zh-CN"/>
        </w:rPr>
        <w:t xml:space="preserve">16 </w:t>
      </w:r>
      <w:r>
        <w:rPr>
          <w:rFonts w:hint="eastAsia"/>
        </w:rPr>
        <w:t>思政教师上的乡村生态文明思政课</w:t>
      </w:r>
      <w:r>
        <w:tab/>
      </w:r>
      <w:r>
        <w:fldChar w:fldCharType="begin"/>
      </w:r>
      <w:r>
        <w:instrText xml:space="preserve"> PAGEREF _Toc32098 \h </w:instrText>
      </w:r>
      <w:r>
        <w:fldChar w:fldCharType="separate"/>
      </w:r>
      <w:r>
        <w:t>105</w:t>
      </w:r>
      <w:r>
        <w:fldChar w:fldCharType="end"/>
      </w:r>
      <w:r>
        <w:rPr>
          <w:rFonts w:hint="eastAsia"/>
        </w:rPr>
        <w:fldChar w:fldCharType="end"/>
      </w:r>
    </w:p>
    <w:p w14:paraId="3404CC2A">
      <w:pPr>
        <w:pStyle w:val="18"/>
        <w:tabs>
          <w:tab w:val="right" w:leader="dot" w:pos="8845"/>
        </w:tabs>
      </w:pPr>
      <w:r>
        <w:rPr>
          <w:rFonts w:hint="eastAsia"/>
        </w:rPr>
        <w:fldChar w:fldCharType="begin"/>
      </w:r>
      <w:r>
        <w:rPr>
          <w:rFonts w:hint="eastAsia"/>
        </w:rPr>
        <w:instrText xml:space="preserve"> HYPERLINK \l _Toc11629 </w:instrText>
      </w:r>
      <w:r>
        <w:rPr>
          <w:rFonts w:hint="eastAsia"/>
        </w:rPr>
        <w:fldChar w:fldCharType="separate"/>
      </w:r>
      <w:r>
        <w:rPr>
          <w:rFonts w:hint="eastAsia"/>
        </w:rPr>
        <w:t>图</w:t>
      </w:r>
      <w:r>
        <w:rPr>
          <w:rFonts w:hint="eastAsia"/>
          <w:lang w:val="en-US" w:eastAsia="zh-CN"/>
        </w:rPr>
        <w:t xml:space="preserve">17 </w:t>
      </w:r>
      <w:r>
        <w:rPr>
          <w:rFonts w:hint="eastAsia"/>
        </w:rPr>
        <w:t>非遗+传承，深度挖掘文化育人价值</w:t>
      </w:r>
      <w:r>
        <w:tab/>
      </w:r>
      <w:r>
        <w:fldChar w:fldCharType="begin"/>
      </w:r>
      <w:r>
        <w:instrText xml:space="preserve"> PAGEREF _Toc11629 \h </w:instrText>
      </w:r>
      <w:r>
        <w:fldChar w:fldCharType="separate"/>
      </w:r>
      <w:r>
        <w:t>107</w:t>
      </w:r>
      <w:r>
        <w:fldChar w:fldCharType="end"/>
      </w:r>
      <w:r>
        <w:rPr>
          <w:rFonts w:hint="eastAsia"/>
        </w:rPr>
        <w:fldChar w:fldCharType="end"/>
      </w:r>
    </w:p>
    <w:p w14:paraId="6D31E17A">
      <w:pPr>
        <w:pStyle w:val="18"/>
        <w:tabs>
          <w:tab w:val="right" w:leader="dot" w:pos="8845"/>
        </w:tabs>
      </w:pPr>
      <w:r>
        <w:rPr>
          <w:rFonts w:hint="eastAsia"/>
        </w:rPr>
        <w:fldChar w:fldCharType="begin"/>
      </w:r>
      <w:r>
        <w:rPr>
          <w:rFonts w:hint="eastAsia"/>
        </w:rPr>
        <w:instrText xml:space="preserve"> HYPERLINK \l _Toc20866 </w:instrText>
      </w:r>
      <w:r>
        <w:rPr>
          <w:rFonts w:hint="eastAsia"/>
        </w:rPr>
        <w:fldChar w:fldCharType="separate"/>
      </w:r>
      <w:r>
        <w:rPr>
          <w:rFonts w:hint="eastAsia"/>
        </w:rPr>
        <w:t>图</w:t>
      </w:r>
      <w:r>
        <w:rPr>
          <w:rFonts w:hint="eastAsia"/>
          <w:lang w:val="en-US" w:eastAsia="zh-CN"/>
        </w:rPr>
        <w:t xml:space="preserve">18 </w:t>
      </w:r>
      <w:r>
        <w:rPr>
          <w:rFonts w:hint="eastAsia"/>
        </w:rPr>
        <w:t>非遗+科技，陶瓷3D打印科技助力非遗陶艺焕发新光彩</w:t>
      </w:r>
      <w:r>
        <w:tab/>
      </w:r>
      <w:r>
        <w:fldChar w:fldCharType="begin"/>
      </w:r>
      <w:r>
        <w:instrText xml:space="preserve"> PAGEREF _Toc20866 \h </w:instrText>
      </w:r>
      <w:r>
        <w:fldChar w:fldCharType="separate"/>
      </w:r>
      <w:r>
        <w:t>107</w:t>
      </w:r>
      <w:r>
        <w:fldChar w:fldCharType="end"/>
      </w:r>
      <w:r>
        <w:rPr>
          <w:rFonts w:hint="eastAsia"/>
        </w:rPr>
        <w:fldChar w:fldCharType="end"/>
      </w:r>
    </w:p>
    <w:p w14:paraId="3BCFE209">
      <w:pPr>
        <w:pStyle w:val="18"/>
        <w:tabs>
          <w:tab w:val="right" w:leader="dot" w:pos="8845"/>
        </w:tabs>
      </w:pPr>
      <w:r>
        <w:rPr>
          <w:rFonts w:hint="eastAsia"/>
        </w:rPr>
        <w:fldChar w:fldCharType="begin"/>
      </w:r>
      <w:r>
        <w:rPr>
          <w:rFonts w:hint="eastAsia"/>
        </w:rPr>
        <w:instrText xml:space="preserve"> HYPERLINK \l _Toc20336 </w:instrText>
      </w:r>
      <w:r>
        <w:rPr>
          <w:rFonts w:hint="eastAsia"/>
        </w:rPr>
        <w:fldChar w:fldCharType="separate"/>
      </w:r>
      <w:r>
        <w:rPr>
          <w:rFonts w:hint="eastAsia"/>
          <w:lang w:val="en-US" w:eastAsia="zh-CN"/>
        </w:rPr>
        <w:t xml:space="preserve">图19 </w:t>
      </w:r>
      <w:r>
        <w:rPr>
          <w:rFonts w:hint="eastAsia"/>
        </w:rPr>
        <w:t>学校开展“劳模工匠进校园”活动</w:t>
      </w:r>
      <w:r>
        <w:tab/>
      </w:r>
      <w:r>
        <w:fldChar w:fldCharType="begin"/>
      </w:r>
      <w:r>
        <w:instrText xml:space="preserve"> PAGEREF _Toc20336 \h </w:instrText>
      </w:r>
      <w:r>
        <w:fldChar w:fldCharType="separate"/>
      </w:r>
      <w:r>
        <w:t>109</w:t>
      </w:r>
      <w:r>
        <w:fldChar w:fldCharType="end"/>
      </w:r>
      <w:r>
        <w:rPr>
          <w:rFonts w:hint="eastAsia"/>
        </w:rPr>
        <w:fldChar w:fldCharType="end"/>
      </w:r>
    </w:p>
    <w:p w14:paraId="31EFBCAF">
      <w:pPr>
        <w:pStyle w:val="18"/>
        <w:tabs>
          <w:tab w:val="right" w:leader="dot" w:pos="8845"/>
        </w:tabs>
      </w:pPr>
      <w:r>
        <w:rPr>
          <w:rFonts w:hint="eastAsia"/>
        </w:rPr>
        <w:fldChar w:fldCharType="begin"/>
      </w:r>
      <w:r>
        <w:rPr>
          <w:rFonts w:hint="eastAsia"/>
        </w:rPr>
        <w:instrText xml:space="preserve"> HYPERLINK \l _Toc21479 </w:instrText>
      </w:r>
      <w:r>
        <w:rPr>
          <w:rFonts w:hint="eastAsia"/>
        </w:rPr>
        <w:fldChar w:fldCharType="separate"/>
      </w:r>
      <w:r>
        <w:rPr>
          <w:rFonts w:hint="eastAsia"/>
        </w:rPr>
        <w:t>图</w:t>
      </w:r>
      <w:r>
        <w:rPr>
          <w:rFonts w:hint="eastAsia"/>
          <w:lang w:val="en-US" w:eastAsia="zh-CN"/>
        </w:rPr>
        <w:t xml:space="preserve">20 </w:t>
      </w:r>
      <w:r>
        <w:rPr>
          <w:rFonts w:hint="eastAsia"/>
        </w:rPr>
        <w:t>社团学生正在精心打造制作金属首饰</w:t>
      </w:r>
      <w:r>
        <w:tab/>
      </w:r>
      <w:r>
        <w:fldChar w:fldCharType="begin"/>
      </w:r>
      <w:r>
        <w:instrText xml:space="preserve"> PAGEREF _Toc21479 \h </w:instrText>
      </w:r>
      <w:r>
        <w:fldChar w:fldCharType="separate"/>
      </w:r>
      <w:r>
        <w:t>110</w:t>
      </w:r>
      <w:r>
        <w:fldChar w:fldCharType="end"/>
      </w:r>
      <w:r>
        <w:rPr>
          <w:rFonts w:hint="eastAsia"/>
        </w:rPr>
        <w:fldChar w:fldCharType="end"/>
      </w:r>
    </w:p>
    <w:p w14:paraId="7AB46FD3">
      <w:pPr>
        <w:pStyle w:val="18"/>
        <w:tabs>
          <w:tab w:val="right" w:leader="dot" w:pos="8845"/>
        </w:tabs>
      </w:pPr>
      <w:r>
        <w:rPr>
          <w:rFonts w:hint="eastAsia"/>
        </w:rPr>
        <w:fldChar w:fldCharType="begin"/>
      </w:r>
      <w:r>
        <w:rPr>
          <w:rFonts w:hint="eastAsia"/>
        </w:rPr>
        <w:instrText xml:space="preserve"> HYPERLINK \l _Toc14764 </w:instrText>
      </w:r>
      <w:r>
        <w:rPr>
          <w:rFonts w:hint="eastAsia"/>
        </w:rPr>
        <w:fldChar w:fldCharType="separate"/>
      </w:r>
      <w:r>
        <w:rPr>
          <w:rFonts w:hint="eastAsia"/>
        </w:rPr>
        <w:t>图</w:t>
      </w:r>
      <w:r>
        <w:rPr>
          <w:rFonts w:hint="eastAsia"/>
          <w:lang w:val="en-US" w:eastAsia="zh-CN"/>
        </w:rPr>
        <w:t xml:space="preserve">21 </w:t>
      </w:r>
      <w:r>
        <w:rPr>
          <w:rFonts w:hint="eastAsia"/>
        </w:rPr>
        <w:t>烈士殉难7</w:t>
      </w:r>
      <w:r>
        <w:t>0</w:t>
      </w:r>
      <w:r>
        <w:rPr>
          <w:rFonts w:hint="eastAsia"/>
        </w:rPr>
        <w:t>周年祭扫活动红岩诗文朗诵获重庆市一等奖</w:t>
      </w:r>
      <w:r>
        <w:tab/>
      </w:r>
      <w:r>
        <w:fldChar w:fldCharType="begin"/>
      </w:r>
      <w:r>
        <w:instrText xml:space="preserve"> PAGEREF _Toc14764 \h </w:instrText>
      </w:r>
      <w:r>
        <w:fldChar w:fldCharType="separate"/>
      </w:r>
      <w:r>
        <w:t>112</w:t>
      </w:r>
      <w:r>
        <w:fldChar w:fldCharType="end"/>
      </w:r>
      <w:r>
        <w:rPr>
          <w:rFonts w:hint="eastAsia"/>
        </w:rPr>
        <w:fldChar w:fldCharType="end"/>
      </w:r>
    </w:p>
    <w:p w14:paraId="71C38A14">
      <w:pPr>
        <w:pStyle w:val="18"/>
        <w:tabs>
          <w:tab w:val="right" w:leader="dot" w:pos="8845"/>
        </w:tabs>
      </w:pPr>
      <w:r>
        <w:rPr>
          <w:rFonts w:hint="eastAsia"/>
        </w:rPr>
        <w:fldChar w:fldCharType="begin"/>
      </w:r>
      <w:r>
        <w:rPr>
          <w:rFonts w:hint="eastAsia"/>
        </w:rPr>
        <w:instrText xml:space="preserve"> HYPERLINK \l _Toc9493 </w:instrText>
      </w:r>
      <w:r>
        <w:rPr>
          <w:rFonts w:hint="eastAsia"/>
        </w:rPr>
        <w:fldChar w:fldCharType="separate"/>
      </w:r>
      <w:r>
        <w:rPr>
          <w:rFonts w:hint="eastAsia"/>
        </w:rPr>
        <w:t>图</w:t>
      </w:r>
      <w:r>
        <w:rPr>
          <w:rFonts w:hint="eastAsia"/>
          <w:lang w:val="en-US" w:eastAsia="zh-CN"/>
        </w:rPr>
        <w:t xml:space="preserve">22 </w:t>
      </w:r>
      <w:r>
        <w:rPr>
          <w:rFonts w:hint="eastAsia"/>
        </w:rPr>
        <w:t>“促改促治”专项整治工作动员部署</w:t>
      </w:r>
      <w:r>
        <w:tab/>
      </w:r>
      <w:r>
        <w:fldChar w:fldCharType="begin"/>
      </w:r>
      <w:r>
        <w:instrText xml:space="preserve"> PAGEREF _Toc9493 \h </w:instrText>
      </w:r>
      <w:r>
        <w:fldChar w:fldCharType="separate"/>
      </w:r>
      <w:r>
        <w:t>120</w:t>
      </w:r>
      <w:r>
        <w:fldChar w:fldCharType="end"/>
      </w:r>
      <w:r>
        <w:rPr>
          <w:rFonts w:hint="eastAsia"/>
        </w:rPr>
        <w:fldChar w:fldCharType="end"/>
      </w:r>
    </w:p>
    <w:p w14:paraId="64912200">
      <w:pPr>
        <w:pStyle w:val="18"/>
        <w:tabs>
          <w:tab w:val="right" w:leader="dot" w:pos="8845"/>
        </w:tabs>
      </w:pPr>
      <w:r>
        <w:rPr>
          <w:rFonts w:hint="eastAsia"/>
        </w:rPr>
        <w:fldChar w:fldCharType="begin"/>
      </w:r>
      <w:r>
        <w:rPr>
          <w:rFonts w:hint="eastAsia"/>
        </w:rPr>
        <w:instrText xml:space="preserve"> HYPERLINK \l _Toc27168 </w:instrText>
      </w:r>
      <w:r>
        <w:rPr>
          <w:rFonts w:hint="eastAsia"/>
        </w:rPr>
        <w:fldChar w:fldCharType="separate"/>
      </w:r>
      <w:r>
        <w:rPr>
          <w:rFonts w:hint="eastAsia"/>
          <w:lang w:val="en-US" w:eastAsia="zh-CN"/>
        </w:rPr>
        <w:t>图23 南岸区茶园派出所警官为技工学校师生开展防诈骗安全教育</w:t>
      </w:r>
      <w:r>
        <w:tab/>
      </w:r>
      <w:r>
        <w:fldChar w:fldCharType="begin"/>
      </w:r>
      <w:r>
        <w:instrText xml:space="preserve"> PAGEREF _Toc27168 \h </w:instrText>
      </w:r>
      <w:r>
        <w:fldChar w:fldCharType="separate"/>
      </w:r>
      <w:r>
        <w:t>127</w:t>
      </w:r>
      <w:r>
        <w:fldChar w:fldCharType="end"/>
      </w:r>
      <w:r>
        <w:rPr>
          <w:rFonts w:hint="eastAsia"/>
        </w:rPr>
        <w:fldChar w:fldCharType="end"/>
      </w:r>
    </w:p>
    <w:p w14:paraId="16E7AC22">
      <w:pPr>
        <w:pStyle w:val="18"/>
        <w:tabs>
          <w:tab w:val="right" w:leader="dot" w:pos="8845"/>
        </w:tabs>
      </w:pPr>
      <w:r>
        <w:rPr>
          <w:rFonts w:hint="eastAsia"/>
        </w:rPr>
        <w:fldChar w:fldCharType="begin"/>
      </w:r>
      <w:r>
        <w:rPr>
          <w:rFonts w:hint="eastAsia"/>
        </w:rPr>
        <w:instrText xml:space="preserve"> HYPERLINK \l _Toc11483 </w:instrText>
      </w:r>
      <w:r>
        <w:rPr>
          <w:rFonts w:hint="eastAsia"/>
        </w:rPr>
        <w:fldChar w:fldCharType="separate"/>
      </w:r>
      <w:r>
        <w:rPr>
          <w:rFonts w:hint="eastAsia"/>
          <w:lang w:val="en-US" w:eastAsia="zh-CN"/>
        </w:rPr>
        <w:t>图24 开展防恐防暴安全反恐演练</w:t>
      </w:r>
      <w:r>
        <w:tab/>
      </w:r>
      <w:r>
        <w:fldChar w:fldCharType="begin"/>
      </w:r>
      <w:r>
        <w:instrText xml:space="preserve"> PAGEREF _Toc11483 \h </w:instrText>
      </w:r>
      <w:r>
        <w:fldChar w:fldCharType="separate"/>
      </w:r>
      <w:r>
        <w:t>127</w:t>
      </w:r>
      <w:r>
        <w:fldChar w:fldCharType="end"/>
      </w:r>
      <w:r>
        <w:rPr>
          <w:rFonts w:hint="eastAsia"/>
        </w:rPr>
        <w:fldChar w:fldCharType="end"/>
      </w:r>
    </w:p>
    <w:p w14:paraId="5710327F">
      <w:pPr>
        <w:pStyle w:val="18"/>
        <w:tabs>
          <w:tab w:val="right" w:leader="dot" w:pos="8845"/>
        </w:tabs>
      </w:pPr>
      <w:r>
        <w:rPr>
          <w:rFonts w:hint="eastAsia"/>
        </w:rPr>
        <w:fldChar w:fldCharType="begin"/>
      </w:r>
      <w:r>
        <w:rPr>
          <w:rFonts w:hint="eastAsia"/>
        </w:rPr>
        <w:instrText xml:space="preserve"> HYPERLINK \l _Toc30722 </w:instrText>
      </w:r>
      <w:r>
        <w:rPr>
          <w:rFonts w:hint="eastAsia"/>
        </w:rPr>
        <w:fldChar w:fldCharType="separate"/>
      </w:r>
      <w:r>
        <w:rPr>
          <w:rFonts w:hint="eastAsia"/>
          <w:lang w:val="en-US" w:eastAsia="zh-CN"/>
        </w:rPr>
        <w:t>图25 开展“粮辰美景•不负食光”美食节活动</w:t>
      </w:r>
      <w:r>
        <w:tab/>
      </w:r>
      <w:r>
        <w:fldChar w:fldCharType="begin"/>
      </w:r>
      <w:r>
        <w:instrText xml:space="preserve"> PAGEREF _Toc30722 \h </w:instrText>
      </w:r>
      <w:r>
        <w:fldChar w:fldCharType="separate"/>
      </w:r>
      <w:r>
        <w:t>130</w:t>
      </w:r>
      <w:r>
        <w:fldChar w:fldCharType="end"/>
      </w:r>
      <w:r>
        <w:rPr>
          <w:rFonts w:hint="eastAsia"/>
        </w:rPr>
        <w:fldChar w:fldCharType="end"/>
      </w:r>
    </w:p>
    <w:p w14:paraId="6E1891EA">
      <w:pPr>
        <w:pStyle w:val="18"/>
        <w:tabs>
          <w:tab w:val="right" w:leader="dot" w:pos="8845"/>
        </w:tabs>
      </w:pPr>
      <w:r>
        <w:rPr>
          <w:rFonts w:hint="eastAsia"/>
        </w:rPr>
        <w:fldChar w:fldCharType="begin"/>
      </w:r>
      <w:r>
        <w:rPr>
          <w:rFonts w:hint="eastAsia"/>
        </w:rPr>
        <w:instrText xml:space="preserve"> HYPERLINK \l _Toc16823 </w:instrText>
      </w:r>
      <w:r>
        <w:rPr>
          <w:rFonts w:hint="eastAsia"/>
        </w:rPr>
        <w:fldChar w:fldCharType="separate"/>
      </w:r>
      <w:r>
        <w:rPr>
          <w:rFonts w:hint="eastAsia"/>
          <w:lang w:val="en-US" w:eastAsia="zh-CN"/>
        </w:rPr>
        <w:t>图26 开展“粮辰美景•不负食光”美食节活动</w:t>
      </w:r>
      <w:r>
        <w:tab/>
      </w:r>
      <w:r>
        <w:fldChar w:fldCharType="begin"/>
      </w:r>
      <w:r>
        <w:instrText xml:space="preserve"> PAGEREF _Toc16823 \h </w:instrText>
      </w:r>
      <w:r>
        <w:fldChar w:fldCharType="separate"/>
      </w:r>
      <w:r>
        <w:t>130</w:t>
      </w:r>
      <w:r>
        <w:fldChar w:fldCharType="end"/>
      </w:r>
      <w:r>
        <w:rPr>
          <w:rFonts w:hint="eastAsia"/>
        </w:rPr>
        <w:fldChar w:fldCharType="end"/>
      </w:r>
    </w:p>
    <w:p w14:paraId="54B589AE">
      <w:pPr>
        <w:pStyle w:val="18"/>
        <w:tabs>
          <w:tab w:val="right" w:leader="dot" w:pos="8845"/>
        </w:tabs>
      </w:pPr>
      <w:r>
        <w:rPr>
          <w:rFonts w:hint="eastAsia"/>
        </w:rPr>
        <w:fldChar w:fldCharType="begin"/>
      </w:r>
      <w:r>
        <w:rPr>
          <w:rFonts w:hint="eastAsia"/>
        </w:rPr>
        <w:instrText xml:space="preserve"> HYPERLINK \l _Toc29579 </w:instrText>
      </w:r>
      <w:r>
        <w:rPr>
          <w:rFonts w:hint="eastAsia"/>
        </w:rPr>
        <w:fldChar w:fldCharType="separate"/>
      </w:r>
      <w:r>
        <w:rPr>
          <w:rFonts w:hint="eastAsia"/>
          <w:lang w:val="en-US" w:eastAsia="zh-CN"/>
        </w:rPr>
        <w:t>图27  开展师徒结对拜师仪式</w:t>
      </w:r>
      <w:r>
        <w:tab/>
      </w:r>
      <w:r>
        <w:fldChar w:fldCharType="begin"/>
      </w:r>
      <w:r>
        <w:instrText xml:space="preserve"> PAGEREF _Toc29579 \h </w:instrText>
      </w:r>
      <w:r>
        <w:fldChar w:fldCharType="separate"/>
      </w:r>
      <w:r>
        <w:t>132</w:t>
      </w:r>
      <w:r>
        <w:fldChar w:fldCharType="end"/>
      </w:r>
      <w:r>
        <w:rPr>
          <w:rFonts w:hint="eastAsia"/>
        </w:rPr>
        <w:fldChar w:fldCharType="end"/>
      </w:r>
    </w:p>
    <w:p w14:paraId="74CDA68C">
      <w:pPr>
        <w:pStyle w:val="18"/>
        <w:tabs>
          <w:tab w:val="right" w:leader="dot" w:pos="8845"/>
        </w:tabs>
      </w:pPr>
      <w:r>
        <w:rPr>
          <w:rFonts w:hint="eastAsia"/>
        </w:rPr>
        <w:fldChar w:fldCharType="begin"/>
      </w:r>
      <w:r>
        <w:rPr>
          <w:rFonts w:hint="eastAsia"/>
        </w:rPr>
        <w:instrText xml:space="preserve"> HYPERLINK \l _Toc16356 </w:instrText>
      </w:r>
      <w:r>
        <w:rPr>
          <w:rFonts w:hint="eastAsia"/>
        </w:rPr>
        <w:fldChar w:fldCharType="separate"/>
      </w:r>
      <w:r>
        <w:rPr>
          <w:rFonts w:hint="eastAsia"/>
          <w:lang w:val="en-US" w:eastAsia="zh-CN"/>
        </w:rPr>
        <w:t>图28 专业部开展教学研讨会</w:t>
      </w:r>
      <w:r>
        <w:tab/>
      </w:r>
      <w:r>
        <w:fldChar w:fldCharType="begin"/>
      </w:r>
      <w:r>
        <w:instrText xml:space="preserve"> PAGEREF _Toc16356 \h </w:instrText>
      </w:r>
      <w:r>
        <w:fldChar w:fldCharType="separate"/>
      </w:r>
      <w:r>
        <w:t>133</w:t>
      </w:r>
      <w:r>
        <w:fldChar w:fldCharType="end"/>
      </w:r>
      <w:r>
        <w:rPr>
          <w:rFonts w:hint="eastAsia"/>
        </w:rPr>
        <w:fldChar w:fldCharType="end"/>
      </w:r>
    </w:p>
    <w:p w14:paraId="053C0BF6">
      <w:pPr>
        <w:pStyle w:val="18"/>
        <w:tabs>
          <w:tab w:val="right" w:leader="dot" w:pos="8845"/>
        </w:tabs>
      </w:pPr>
      <w:r>
        <w:rPr>
          <w:rFonts w:hint="eastAsia"/>
        </w:rPr>
        <w:fldChar w:fldCharType="begin"/>
      </w:r>
      <w:r>
        <w:rPr>
          <w:rFonts w:hint="eastAsia"/>
        </w:rPr>
        <w:instrText xml:space="preserve"> HYPERLINK \l _Toc18763 </w:instrText>
      </w:r>
      <w:r>
        <w:rPr>
          <w:rFonts w:hint="eastAsia"/>
        </w:rPr>
        <w:fldChar w:fldCharType="separate"/>
      </w:r>
      <w:r>
        <w:rPr>
          <w:rFonts w:hint="eastAsia"/>
          <w:lang w:val="en-US" w:eastAsia="zh-CN"/>
        </w:rPr>
        <w:t>图29 区疾控中心传染病防治科为师生开展传染病安全教育</w:t>
      </w:r>
      <w:r>
        <w:tab/>
      </w:r>
      <w:r>
        <w:fldChar w:fldCharType="begin"/>
      </w:r>
      <w:r>
        <w:instrText xml:space="preserve"> PAGEREF _Toc18763 \h </w:instrText>
      </w:r>
      <w:r>
        <w:fldChar w:fldCharType="separate"/>
      </w:r>
      <w:r>
        <w:t>135</w:t>
      </w:r>
      <w:r>
        <w:fldChar w:fldCharType="end"/>
      </w:r>
      <w:r>
        <w:rPr>
          <w:rFonts w:hint="eastAsia"/>
        </w:rPr>
        <w:fldChar w:fldCharType="end"/>
      </w:r>
    </w:p>
    <w:p w14:paraId="72B11BB9">
      <w:pPr>
        <w:pStyle w:val="18"/>
        <w:tabs>
          <w:tab w:val="right" w:leader="dot" w:pos="8845"/>
        </w:tabs>
      </w:pPr>
      <w:r>
        <w:rPr>
          <w:rFonts w:hint="eastAsia"/>
        </w:rPr>
        <w:fldChar w:fldCharType="begin"/>
      </w:r>
      <w:r>
        <w:rPr>
          <w:rFonts w:hint="eastAsia"/>
        </w:rPr>
        <w:instrText xml:space="preserve"> HYPERLINK \l _Toc26093 </w:instrText>
      </w:r>
      <w:r>
        <w:rPr>
          <w:rFonts w:hint="eastAsia"/>
        </w:rPr>
        <w:fldChar w:fldCharType="separate"/>
      </w:r>
      <w:r>
        <w:rPr>
          <w:rFonts w:hint="eastAsia"/>
          <w:lang w:val="en-US" w:eastAsia="zh-CN"/>
        </w:rPr>
        <w:t>图30 开展汽车技能比赛</w:t>
      </w:r>
      <w:r>
        <w:tab/>
      </w:r>
      <w:r>
        <w:fldChar w:fldCharType="begin"/>
      </w:r>
      <w:r>
        <w:instrText xml:space="preserve"> PAGEREF _Toc26093 \h </w:instrText>
      </w:r>
      <w:r>
        <w:fldChar w:fldCharType="separate"/>
      </w:r>
      <w:r>
        <w:t>137</w:t>
      </w:r>
      <w:r>
        <w:fldChar w:fldCharType="end"/>
      </w:r>
      <w:r>
        <w:rPr>
          <w:rFonts w:hint="eastAsia"/>
        </w:rPr>
        <w:fldChar w:fldCharType="end"/>
      </w:r>
    </w:p>
    <w:p w14:paraId="033CADB0">
      <w:pPr>
        <w:pStyle w:val="18"/>
        <w:tabs>
          <w:tab w:val="right" w:leader="dot" w:pos="8845"/>
        </w:tabs>
      </w:pPr>
      <w:r>
        <w:rPr>
          <w:rFonts w:hint="eastAsia"/>
        </w:rPr>
        <w:fldChar w:fldCharType="begin"/>
      </w:r>
      <w:r>
        <w:rPr>
          <w:rFonts w:hint="eastAsia"/>
        </w:rPr>
        <w:instrText xml:space="preserve"> HYPERLINK \l _Toc6388 </w:instrText>
      </w:r>
      <w:r>
        <w:rPr>
          <w:rFonts w:hint="eastAsia"/>
        </w:rPr>
        <w:fldChar w:fldCharType="separate"/>
      </w:r>
      <w:r>
        <w:rPr>
          <w:rFonts w:hint="eastAsia"/>
          <w:lang w:val="en-US" w:eastAsia="zh-CN"/>
        </w:rPr>
        <w:t>图31 开展汽车诊断技术培训会</w:t>
      </w:r>
      <w:r>
        <w:tab/>
      </w:r>
      <w:r>
        <w:fldChar w:fldCharType="begin"/>
      </w:r>
      <w:r>
        <w:instrText xml:space="preserve"> PAGEREF _Toc6388 \h </w:instrText>
      </w:r>
      <w:r>
        <w:fldChar w:fldCharType="separate"/>
      </w:r>
      <w:r>
        <w:t>138</w:t>
      </w:r>
      <w:r>
        <w:fldChar w:fldCharType="end"/>
      </w:r>
      <w:r>
        <w:rPr>
          <w:rFonts w:hint="eastAsia"/>
        </w:rPr>
        <w:fldChar w:fldCharType="end"/>
      </w:r>
    </w:p>
    <w:p w14:paraId="10EF9487">
      <w:pPr>
        <w:pStyle w:val="18"/>
        <w:tabs>
          <w:tab w:val="right" w:leader="dot" w:pos="8845"/>
        </w:tabs>
      </w:pPr>
      <w:r>
        <w:rPr>
          <w:rFonts w:hint="eastAsia"/>
        </w:rPr>
        <w:fldChar w:fldCharType="begin"/>
      </w:r>
      <w:r>
        <w:rPr>
          <w:rFonts w:hint="eastAsia"/>
        </w:rPr>
        <w:instrText xml:space="preserve"> HYPERLINK \l _Toc2758 </w:instrText>
      </w:r>
      <w:r>
        <w:rPr>
          <w:rFonts w:hint="eastAsia"/>
        </w:rPr>
        <w:fldChar w:fldCharType="separate"/>
      </w:r>
      <w:r>
        <w:rPr>
          <w:rFonts w:hint="eastAsia"/>
          <w:lang w:val="en-US" w:eastAsia="zh-CN"/>
        </w:rPr>
        <w:t>图33 组织新同学参观建川博物馆</w:t>
      </w:r>
      <w:r>
        <w:tab/>
      </w:r>
      <w:r>
        <w:fldChar w:fldCharType="begin"/>
      </w:r>
      <w:r>
        <w:instrText xml:space="preserve"> PAGEREF _Toc2758 \h </w:instrText>
      </w:r>
      <w:r>
        <w:fldChar w:fldCharType="separate"/>
      </w:r>
      <w:r>
        <w:t>141</w:t>
      </w:r>
      <w:r>
        <w:fldChar w:fldCharType="end"/>
      </w:r>
      <w:r>
        <w:rPr>
          <w:rFonts w:hint="eastAsia"/>
        </w:rPr>
        <w:fldChar w:fldCharType="end"/>
      </w:r>
    </w:p>
    <w:p w14:paraId="40D6CCC7">
      <w:pPr>
        <w:pStyle w:val="18"/>
        <w:tabs>
          <w:tab w:val="right" w:leader="dot" w:pos="8845"/>
        </w:tabs>
      </w:pPr>
      <w:r>
        <w:rPr>
          <w:rFonts w:hint="eastAsia"/>
        </w:rPr>
        <w:fldChar w:fldCharType="begin"/>
      </w:r>
      <w:r>
        <w:rPr>
          <w:rFonts w:hint="eastAsia"/>
        </w:rPr>
        <w:instrText xml:space="preserve"> HYPERLINK \l _Toc25485 </w:instrText>
      </w:r>
      <w:r>
        <w:rPr>
          <w:rFonts w:hint="eastAsia"/>
        </w:rPr>
        <w:fldChar w:fldCharType="separate"/>
      </w:r>
      <w:r>
        <w:rPr>
          <w:rFonts w:hint="eastAsia"/>
          <w:lang w:val="en-US" w:eastAsia="zh-CN"/>
        </w:rPr>
        <w:t>图34 迎“篮”而上，有“球”必应篮球比赛</w:t>
      </w:r>
      <w:r>
        <w:tab/>
      </w:r>
      <w:r>
        <w:fldChar w:fldCharType="begin"/>
      </w:r>
      <w:r>
        <w:instrText xml:space="preserve"> PAGEREF _Toc25485 \h </w:instrText>
      </w:r>
      <w:r>
        <w:fldChar w:fldCharType="separate"/>
      </w:r>
      <w:r>
        <w:t>141</w:t>
      </w:r>
      <w:r>
        <w:fldChar w:fldCharType="end"/>
      </w:r>
      <w:r>
        <w:rPr>
          <w:rFonts w:hint="eastAsia"/>
        </w:rPr>
        <w:fldChar w:fldCharType="end"/>
      </w:r>
    </w:p>
    <w:p w14:paraId="729F23C8">
      <w:pPr>
        <w:pStyle w:val="18"/>
        <w:tabs>
          <w:tab w:val="right" w:leader="dot" w:pos="8845"/>
        </w:tabs>
      </w:pPr>
      <w:r>
        <w:rPr>
          <w:rFonts w:hint="eastAsia"/>
        </w:rPr>
        <w:fldChar w:fldCharType="begin"/>
      </w:r>
      <w:r>
        <w:rPr>
          <w:rFonts w:hint="eastAsia"/>
        </w:rPr>
        <w:instrText xml:space="preserve"> HYPERLINK \l _Toc8631 </w:instrText>
      </w:r>
      <w:r>
        <w:rPr>
          <w:rFonts w:hint="eastAsia"/>
        </w:rPr>
        <w:fldChar w:fldCharType="separate"/>
      </w:r>
      <w:r>
        <w:rPr>
          <w:rFonts w:hint="eastAsia"/>
          <w:lang w:val="en-US" w:eastAsia="zh-CN"/>
        </w:rPr>
        <w:t>图35 组织开展徒步拉练活动</w:t>
      </w:r>
      <w:r>
        <w:tab/>
      </w:r>
      <w:r>
        <w:fldChar w:fldCharType="begin"/>
      </w:r>
      <w:r>
        <w:instrText xml:space="preserve"> PAGEREF _Toc8631 \h </w:instrText>
      </w:r>
      <w:r>
        <w:fldChar w:fldCharType="separate"/>
      </w:r>
      <w:r>
        <w:t>144</w:t>
      </w:r>
      <w:r>
        <w:fldChar w:fldCharType="end"/>
      </w:r>
      <w:r>
        <w:rPr>
          <w:rFonts w:hint="eastAsia"/>
        </w:rPr>
        <w:fldChar w:fldCharType="end"/>
      </w:r>
    </w:p>
    <w:p w14:paraId="70848118">
      <w:pPr>
        <w:pStyle w:val="18"/>
        <w:tabs>
          <w:tab w:val="right" w:leader="dot" w:pos="8845"/>
        </w:tabs>
      </w:pPr>
      <w:r>
        <w:rPr>
          <w:rFonts w:hint="eastAsia"/>
        </w:rPr>
        <w:fldChar w:fldCharType="begin"/>
      </w:r>
      <w:r>
        <w:rPr>
          <w:rFonts w:hint="eastAsia"/>
        </w:rPr>
        <w:instrText xml:space="preserve"> HYPERLINK \l _Toc21548 </w:instrText>
      </w:r>
      <w:r>
        <w:rPr>
          <w:rFonts w:hint="eastAsia"/>
        </w:rPr>
        <w:fldChar w:fldCharType="separate"/>
      </w:r>
      <w:r>
        <w:rPr>
          <w:rFonts w:hint="eastAsia"/>
          <w:lang w:val="en-US" w:eastAsia="zh-CN"/>
        </w:rPr>
        <w:t>图36 组织开展徒步拉练活动</w:t>
      </w:r>
      <w:r>
        <w:tab/>
      </w:r>
      <w:r>
        <w:fldChar w:fldCharType="begin"/>
      </w:r>
      <w:r>
        <w:instrText xml:space="preserve"> PAGEREF _Toc21548 \h </w:instrText>
      </w:r>
      <w:r>
        <w:fldChar w:fldCharType="separate"/>
      </w:r>
      <w:r>
        <w:t>144</w:t>
      </w:r>
      <w:r>
        <w:fldChar w:fldCharType="end"/>
      </w:r>
      <w:r>
        <w:rPr>
          <w:rFonts w:hint="eastAsia"/>
        </w:rPr>
        <w:fldChar w:fldCharType="end"/>
      </w:r>
    </w:p>
    <w:p w14:paraId="5BCDE3B6">
      <w:pPr>
        <w:pStyle w:val="18"/>
        <w:tabs>
          <w:tab w:val="right" w:leader="dot" w:pos="8845"/>
        </w:tabs>
      </w:pPr>
      <w:r>
        <w:rPr>
          <w:rFonts w:hint="eastAsia"/>
        </w:rPr>
        <w:fldChar w:fldCharType="begin"/>
      </w:r>
      <w:r>
        <w:rPr>
          <w:rFonts w:hint="eastAsia"/>
        </w:rPr>
        <w:instrText xml:space="preserve"> HYPERLINK \l _Toc25249 </w:instrText>
      </w:r>
      <w:r>
        <w:rPr>
          <w:rFonts w:hint="eastAsia"/>
        </w:rPr>
        <w:fldChar w:fldCharType="separate"/>
      </w:r>
      <w:r>
        <w:rPr>
          <w:rFonts w:hint="eastAsia"/>
          <w:lang w:val="en-US" w:eastAsia="zh-CN"/>
        </w:rPr>
        <w:t>图37 一技在手，一生无忧”职业教育活动周家长开放日</w:t>
      </w:r>
      <w:r>
        <w:tab/>
      </w:r>
      <w:r>
        <w:fldChar w:fldCharType="begin"/>
      </w:r>
      <w:r>
        <w:instrText xml:space="preserve"> PAGEREF _Toc25249 \h </w:instrText>
      </w:r>
      <w:r>
        <w:fldChar w:fldCharType="separate"/>
      </w:r>
      <w:r>
        <w:t>146</w:t>
      </w:r>
      <w:r>
        <w:fldChar w:fldCharType="end"/>
      </w:r>
      <w:r>
        <w:rPr>
          <w:rFonts w:hint="eastAsia"/>
        </w:rPr>
        <w:fldChar w:fldCharType="end"/>
      </w:r>
    </w:p>
    <w:p w14:paraId="5E4CC932">
      <w:pPr>
        <w:pStyle w:val="18"/>
        <w:tabs>
          <w:tab w:val="right" w:leader="dot" w:pos="8845"/>
        </w:tabs>
      </w:pPr>
      <w:r>
        <w:rPr>
          <w:rFonts w:hint="eastAsia"/>
        </w:rPr>
        <w:fldChar w:fldCharType="begin"/>
      </w:r>
      <w:r>
        <w:rPr>
          <w:rFonts w:hint="eastAsia"/>
        </w:rPr>
        <w:instrText xml:space="preserve"> HYPERLINK \l _Toc24932 </w:instrText>
      </w:r>
      <w:r>
        <w:rPr>
          <w:rFonts w:hint="eastAsia"/>
        </w:rPr>
        <w:fldChar w:fldCharType="separate"/>
      </w:r>
      <w:r>
        <w:rPr>
          <w:rFonts w:hint="eastAsia"/>
          <w:lang w:val="en-US" w:eastAsia="zh-CN"/>
        </w:rPr>
        <w:t>图38 一技在手，一生无忧”职业教育活动周互动体验区</w:t>
      </w:r>
      <w:r>
        <w:tab/>
      </w:r>
      <w:r>
        <w:fldChar w:fldCharType="begin"/>
      </w:r>
      <w:r>
        <w:instrText xml:space="preserve"> PAGEREF _Toc24932 \h </w:instrText>
      </w:r>
      <w:r>
        <w:fldChar w:fldCharType="separate"/>
      </w:r>
      <w:r>
        <w:t>147</w:t>
      </w:r>
      <w:r>
        <w:fldChar w:fldCharType="end"/>
      </w:r>
      <w:r>
        <w:rPr>
          <w:rFonts w:hint="eastAsia"/>
        </w:rPr>
        <w:fldChar w:fldCharType="end"/>
      </w:r>
    </w:p>
    <w:p w14:paraId="0A5A18C4">
      <w:pPr>
        <w:pStyle w:val="18"/>
        <w:tabs>
          <w:tab w:val="right" w:leader="dot" w:pos="8845"/>
        </w:tabs>
      </w:pPr>
      <w:r>
        <w:rPr>
          <w:rFonts w:hint="eastAsia"/>
        </w:rPr>
        <w:fldChar w:fldCharType="begin"/>
      </w:r>
      <w:r>
        <w:rPr>
          <w:rFonts w:hint="eastAsia"/>
        </w:rPr>
        <w:instrText xml:space="preserve"> HYPERLINK \l _Toc6929 </w:instrText>
      </w:r>
      <w:r>
        <w:rPr>
          <w:rFonts w:hint="eastAsia"/>
        </w:rPr>
        <w:fldChar w:fldCharType="separate"/>
      </w:r>
      <w:r>
        <w:rPr>
          <w:rFonts w:hint="eastAsia"/>
          <w:lang w:val="en-US" w:eastAsia="zh-CN"/>
        </w:rPr>
        <w:t>图39 一技在手，一生无忧”职业教育活动周职业技能展示</w:t>
      </w:r>
      <w:r>
        <w:tab/>
      </w:r>
      <w:r>
        <w:fldChar w:fldCharType="begin"/>
      </w:r>
      <w:r>
        <w:instrText xml:space="preserve"> PAGEREF _Toc6929 \h </w:instrText>
      </w:r>
      <w:r>
        <w:fldChar w:fldCharType="separate"/>
      </w:r>
      <w:r>
        <w:t>147</w:t>
      </w:r>
      <w:r>
        <w:fldChar w:fldCharType="end"/>
      </w:r>
      <w:r>
        <w:rPr>
          <w:rFonts w:hint="eastAsia"/>
        </w:rPr>
        <w:fldChar w:fldCharType="end"/>
      </w:r>
    </w:p>
    <w:p w14:paraId="574FD90A">
      <w:pPr>
        <w:pStyle w:val="18"/>
        <w:tabs>
          <w:tab w:val="right" w:leader="dot" w:pos="8845"/>
        </w:tabs>
      </w:pPr>
      <w:r>
        <w:rPr>
          <w:rFonts w:hint="eastAsia"/>
        </w:rPr>
        <w:fldChar w:fldCharType="begin"/>
      </w:r>
      <w:r>
        <w:rPr>
          <w:rFonts w:hint="eastAsia"/>
        </w:rPr>
        <w:instrText xml:space="preserve"> HYPERLINK \l _Toc30059 </w:instrText>
      </w:r>
      <w:r>
        <w:rPr>
          <w:rFonts w:hint="eastAsia"/>
        </w:rPr>
        <w:fldChar w:fldCharType="separate"/>
      </w:r>
      <w:r>
        <w:rPr>
          <w:rFonts w:hint="eastAsia"/>
          <w:lang w:val="en-US" w:eastAsia="zh-CN"/>
        </w:rPr>
        <w:t>图40 一技在手，一生无忧”职业教育活动周闭幕式</w:t>
      </w:r>
      <w:r>
        <w:tab/>
      </w:r>
      <w:r>
        <w:fldChar w:fldCharType="begin"/>
      </w:r>
      <w:r>
        <w:instrText xml:space="preserve"> PAGEREF _Toc30059 \h </w:instrText>
      </w:r>
      <w:r>
        <w:fldChar w:fldCharType="separate"/>
      </w:r>
      <w:r>
        <w:t>148</w:t>
      </w:r>
      <w:r>
        <w:fldChar w:fldCharType="end"/>
      </w:r>
      <w:r>
        <w:rPr>
          <w:rFonts w:hint="eastAsia"/>
        </w:rPr>
        <w:fldChar w:fldCharType="end"/>
      </w:r>
    </w:p>
    <w:p w14:paraId="6D2D1EE3">
      <w:pPr>
        <w:pStyle w:val="18"/>
        <w:tabs>
          <w:tab w:val="right" w:leader="dot" w:pos="8845"/>
        </w:tabs>
      </w:pPr>
      <w:r>
        <w:rPr>
          <w:rFonts w:hint="eastAsia"/>
        </w:rPr>
        <w:fldChar w:fldCharType="begin"/>
      </w:r>
      <w:r>
        <w:rPr>
          <w:rFonts w:hint="eastAsia"/>
        </w:rPr>
        <w:instrText xml:space="preserve"> HYPERLINK \l _Toc25901 </w:instrText>
      </w:r>
      <w:r>
        <w:rPr>
          <w:rFonts w:hint="eastAsia"/>
        </w:rPr>
        <w:fldChar w:fldCharType="separate"/>
      </w:r>
      <w:r>
        <w:rPr>
          <w:rFonts w:hint="eastAsia"/>
          <w:lang w:val="en-US" w:eastAsia="zh-CN"/>
        </w:rPr>
        <w:t>图41 开展职业规划座谈会</w:t>
      </w:r>
      <w:r>
        <w:tab/>
      </w:r>
      <w:r>
        <w:fldChar w:fldCharType="begin"/>
      </w:r>
      <w:r>
        <w:instrText xml:space="preserve"> PAGEREF _Toc25901 \h </w:instrText>
      </w:r>
      <w:r>
        <w:fldChar w:fldCharType="separate"/>
      </w:r>
      <w:r>
        <w:t>148</w:t>
      </w:r>
      <w:r>
        <w:fldChar w:fldCharType="end"/>
      </w:r>
      <w:r>
        <w:rPr>
          <w:rFonts w:hint="eastAsia"/>
        </w:rPr>
        <w:fldChar w:fldCharType="end"/>
      </w:r>
    </w:p>
    <w:p w14:paraId="4A594F8C">
      <w:pPr>
        <w:pStyle w:val="17"/>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jc w:val="center"/>
        <w:textAlignment w:val="auto"/>
        <w:rPr>
          <w:rFonts w:hint="eastAsia" w:ascii="方正仿宋_GBK" w:hAnsi="方正仿宋_GBK" w:eastAsia="方正仿宋_GBK" w:cs="方正仿宋_GBK"/>
          <w:bCs/>
          <w:color w:val="auto"/>
          <w:sz w:val="24"/>
          <w:szCs w:val="24"/>
        </w:rPr>
      </w:pPr>
      <w:r>
        <w:rPr>
          <w:rFonts w:hint="eastAsia" w:ascii="方正仿宋_GBK" w:hAnsi="方正仿宋_GBK" w:eastAsia="方正仿宋_GBK" w:cs="方正仿宋_GBK"/>
          <w:bCs/>
          <w:color w:val="auto"/>
          <w:szCs w:val="24"/>
        </w:rPr>
        <w:fldChar w:fldCharType="end"/>
      </w:r>
    </w:p>
    <w:p w14:paraId="01D7B628">
      <w:pPr>
        <w:rPr>
          <w:rFonts w:hint="eastAsia" w:ascii="黑体" w:hAnsi="黑体" w:eastAsia="黑体" w:cs="黑体"/>
          <w:bCs/>
          <w:color w:val="auto"/>
          <w:sz w:val="36"/>
          <w:szCs w:val="36"/>
        </w:rPr>
      </w:pPr>
      <w:r>
        <w:rPr>
          <w:rFonts w:hint="eastAsia" w:ascii="黑体" w:hAnsi="黑体" w:eastAsia="黑体" w:cs="黑体"/>
          <w:bCs/>
          <w:color w:val="auto"/>
          <w:sz w:val="36"/>
          <w:szCs w:val="36"/>
        </w:rPr>
        <w:br w:type="page"/>
      </w:r>
    </w:p>
    <w:p w14:paraId="3963ED26">
      <w:pPr>
        <w:jc w:val="center"/>
        <w:rPr>
          <w:rFonts w:hint="eastAsia" w:ascii="黑体" w:hAnsi="黑体" w:eastAsia="黑体" w:cs="黑体"/>
          <w:bCs/>
          <w:color w:val="auto"/>
          <w:sz w:val="36"/>
          <w:szCs w:val="36"/>
        </w:rPr>
      </w:pPr>
      <w:r>
        <w:rPr>
          <w:rFonts w:hint="eastAsia" w:ascii="黑体" w:hAnsi="黑体" w:eastAsia="黑体" w:cs="黑体"/>
          <w:bCs/>
          <w:color w:val="auto"/>
          <w:sz w:val="36"/>
          <w:szCs w:val="36"/>
        </w:rPr>
        <w:t>案例目录</w:t>
      </w:r>
    </w:p>
    <w:p w14:paraId="12FB2506">
      <w:pPr>
        <w:pStyle w:val="18"/>
        <w:tabs>
          <w:tab w:val="right" w:leader="dot" w:pos="8845"/>
        </w:tabs>
      </w:pPr>
      <w:bookmarkStart w:id="22" w:name="_Toc28441"/>
      <w:r>
        <w:rPr>
          <w:rFonts w:hint="eastAsia"/>
          <w:sz w:val="24"/>
          <w:szCs w:val="24"/>
        </w:rPr>
        <w:fldChar w:fldCharType="begin"/>
      </w:r>
      <w:r>
        <w:rPr>
          <w:rFonts w:hint="eastAsia"/>
          <w:sz w:val="24"/>
          <w:szCs w:val="24"/>
        </w:rPr>
        <w:instrText xml:space="preserve">TOC \t "案例" \h \c</w:instrText>
      </w:r>
      <w:r>
        <w:rPr>
          <w:rFonts w:hint="eastAsia"/>
          <w:sz w:val="24"/>
          <w:szCs w:val="24"/>
        </w:rPr>
        <w:fldChar w:fldCharType="separate"/>
      </w:r>
      <w:bookmarkEnd w:id="22"/>
      <w:r>
        <w:rPr>
          <w:rFonts w:hint="eastAsia"/>
        </w:rPr>
        <w:fldChar w:fldCharType="begin"/>
      </w:r>
      <w:r>
        <w:rPr>
          <w:rFonts w:hint="eastAsia"/>
        </w:rPr>
        <w:instrText xml:space="preserve"> HYPERLINK \l _Toc12023 </w:instrText>
      </w:r>
      <w:r>
        <w:rPr>
          <w:rFonts w:hint="eastAsia"/>
        </w:rPr>
        <w:fldChar w:fldCharType="separate"/>
      </w:r>
      <w:r>
        <w:rPr>
          <w:rFonts w:hint="eastAsia"/>
          <w:lang w:val="en-US" w:eastAsia="zh-CN"/>
        </w:rPr>
        <w:t>案例1：德技融合，育才创新</w:t>
      </w:r>
      <w:r>
        <w:tab/>
      </w:r>
      <w:r>
        <w:fldChar w:fldCharType="begin"/>
      </w:r>
      <w:r>
        <w:instrText xml:space="preserve"> PAGEREF _Toc12023 \h </w:instrText>
      </w:r>
      <w:r>
        <w:fldChar w:fldCharType="separate"/>
      </w:r>
      <w:r>
        <w:t>77</w:t>
      </w:r>
      <w:r>
        <w:fldChar w:fldCharType="end"/>
      </w:r>
      <w:r>
        <w:rPr>
          <w:rFonts w:hint="eastAsia"/>
        </w:rPr>
        <w:fldChar w:fldCharType="end"/>
      </w:r>
    </w:p>
    <w:p w14:paraId="236EC98A">
      <w:pPr>
        <w:pStyle w:val="18"/>
        <w:tabs>
          <w:tab w:val="right" w:leader="dot" w:pos="8845"/>
        </w:tabs>
      </w:pPr>
      <w:r>
        <w:rPr>
          <w:rFonts w:hint="eastAsia"/>
        </w:rPr>
        <w:fldChar w:fldCharType="begin"/>
      </w:r>
      <w:r>
        <w:rPr>
          <w:rFonts w:hint="eastAsia"/>
        </w:rPr>
        <w:instrText xml:space="preserve"> HYPERLINK \l _Toc12445 </w:instrText>
      </w:r>
      <w:r>
        <w:rPr>
          <w:rFonts w:hint="eastAsia"/>
        </w:rPr>
        <w:fldChar w:fldCharType="separate"/>
      </w:r>
      <w:r>
        <w:rPr>
          <w:rFonts w:hint="eastAsia"/>
          <w:lang w:val="en-US" w:eastAsia="zh-CN"/>
        </w:rPr>
        <w:t>案例2：创新专业德育育人模式“8S”管理形成特色品牌</w:t>
      </w:r>
      <w:r>
        <w:tab/>
      </w:r>
      <w:r>
        <w:fldChar w:fldCharType="begin"/>
      </w:r>
      <w:r>
        <w:instrText xml:space="preserve"> PAGEREF _Toc12445 \h </w:instrText>
      </w:r>
      <w:r>
        <w:fldChar w:fldCharType="separate"/>
      </w:r>
      <w:r>
        <w:t>79</w:t>
      </w:r>
      <w:r>
        <w:fldChar w:fldCharType="end"/>
      </w:r>
      <w:r>
        <w:rPr>
          <w:rFonts w:hint="eastAsia"/>
        </w:rPr>
        <w:fldChar w:fldCharType="end"/>
      </w:r>
    </w:p>
    <w:p w14:paraId="6F3B8F93">
      <w:pPr>
        <w:pStyle w:val="18"/>
        <w:tabs>
          <w:tab w:val="right" w:leader="dot" w:pos="8845"/>
        </w:tabs>
      </w:pPr>
      <w:r>
        <w:rPr>
          <w:rFonts w:hint="eastAsia"/>
        </w:rPr>
        <w:fldChar w:fldCharType="begin"/>
      </w:r>
      <w:r>
        <w:rPr>
          <w:rFonts w:hint="eastAsia"/>
        </w:rPr>
        <w:instrText xml:space="preserve"> HYPERLINK \l _Toc5590 </w:instrText>
      </w:r>
      <w:r>
        <w:rPr>
          <w:rFonts w:hint="eastAsia"/>
        </w:rPr>
        <w:fldChar w:fldCharType="separate"/>
      </w:r>
      <w:r>
        <w:rPr>
          <w:rFonts w:hint="eastAsia"/>
          <w:lang w:val="en-US" w:eastAsia="zh-CN"/>
        </w:rPr>
        <w:t>案例3：示范引领，联合教研促集团发展</w:t>
      </w:r>
      <w:r>
        <w:tab/>
      </w:r>
      <w:r>
        <w:fldChar w:fldCharType="begin"/>
      </w:r>
      <w:r>
        <w:instrText xml:space="preserve"> PAGEREF _Toc5590 \h </w:instrText>
      </w:r>
      <w:r>
        <w:fldChar w:fldCharType="separate"/>
      </w:r>
      <w:r>
        <w:t>82</w:t>
      </w:r>
      <w:r>
        <w:fldChar w:fldCharType="end"/>
      </w:r>
      <w:r>
        <w:rPr>
          <w:rFonts w:hint="eastAsia"/>
        </w:rPr>
        <w:fldChar w:fldCharType="end"/>
      </w:r>
    </w:p>
    <w:p w14:paraId="7A153A92">
      <w:pPr>
        <w:pStyle w:val="18"/>
        <w:tabs>
          <w:tab w:val="right" w:leader="dot" w:pos="8845"/>
        </w:tabs>
      </w:pPr>
      <w:r>
        <w:rPr>
          <w:rFonts w:hint="eastAsia"/>
        </w:rPr>
        <w:fldChar w:fldCharType="begin"/>
      </w:r>
      <w:r>
        <w:rPr>
          <w:rFonts w:hint="eastAsia"/>
        </w:rPr>
        <w:instrText xml:space="preserve"> HYPERLINK \l _Toc19740 </w:instrText>
      </w:r>
      <w:r>
        <w:rPr>
          <w:rFonts w:hint="eastAsia"/>
        </w:rPr>
        <w:fldChar w:fldCharType="separate"/>
      </w:r>
      <w:r>
        <w:rPr>
          <w:rFonts w:hint="eastAsia"/>
          <w:lang w:val="en-US" w:eastAsia="zh-CN"/>
        </w:rPr>
        <w:t>案例4：基于钉钉数字基座建设中职智慧校园的实践案例</w:t>
      </w:r>
      <w:r>
        <w:tab/>
      </w:r>
      <w:r>
        <w:fldChar w:fldCharType="begin"/>
      </w:r>
      <w:r>
        <w:instrText xml:space="preserve"> PAGEREF _Toc19740 \h </w:instrText>
      </w:r>
      <w:r>
        <w:fldChar w:fldCharType="separate"/>
      </w:r>
      <w:r>
        <w:t>84</w:t>
      </w:r>
      <w:r>
        <w:fldChar w:fldCharType="end"/>
      </w:r>
      <w:r>
        <w:rPr>
          <w:rFonts w:hint="eastAsia"/>
        </w:rPr>
        <w:fldChar w:fldCharType="end"/>
      </w:r>
    </w:p>
    <w:p w14:paraId="5DEF5DBD">
      <w:pPr>
        <w:pStyle w:val="18"/>
        <w:tabs>
          <w:tab w:val="right" w:leader="dot" w:pos="8845"/>
        </w:tabs>
      </w:pPr>
      <w:r>
        <w:rPr>
          <w:rFonts w:hint="eastAsia"/>
        </w:rPr>
        <w:fldChar w:fldCharType="begin"/>
      </w:r>
      <w:r>
        <w:rPr>
          <w:rFonts w:hint="eastAsia"/>
        </w:rPr>
        <w:instrText xml:space="preserve"> HYPERLINK \l _Toc16938 </w:instrText>
      </w:r>
      <w:r>
        <w:rPr>
          <w:rFonts w:hint="eastAsia"/>
        </w:rPr>
        <w:fldChar w:fldCharType="separate"/>
      </w:r>
      <w:r>
        <w:rPr>
          <w:rFonts w:hint="eastAsia"/>
          <w:lang w:val="en-US" w:eastAsia="zh-CN"/>
        </w:rPr>
        <w:t>案例5：链动全员阅读书香溢美龙职</w:t>
      </w:r>
      <w:r>
        <w:tab/>
      </w:r>
      <w:r>
        <w:fldChar w:fldCharType="begin"/>
      </w:r>
      <w:r>
        <w:instrText xml:space="preserve"> PAGEREF _Toc16938 \h </w:instrText>
      </w:r>
      <w:r>
        <w:fldChar w:fldCharType="separate"/>
      </w:r>
      <w:r>
        <w:t>86</w:t>
      </w:r>
      <w:r>
        <w:fldChar w:fldCharType="end"/>
      </w:r>
      <w:r>
        <w:rPr>
          <w:rFonts w:hint="eastAsia"/>
        </w:rPr>
        <w:fldChar w:fldCharType="end"/>
      </w:r>
    </w:p>
    <w:p w14:paraId="46A2E74C">
      <w:pPr>
        <w:pStyle w:val="18"/>
        <w:tabs>
          <w:tab w:val="right" w:leader="dot" w:pos="8845"/>
        </w:tabs>
      </w:pPr>
      <w:r>
        <w:rPr>
          <w:rFonts w:hint="eastAsia"/>
        </w:rPr>
        <w:fldChar w:fldCharType="begin"/>
      </w:r>
      <w:r>
        <w:rPr>
          <w:rFonts w:hint="eastAsia"/>
        </w:rPr>
        <w:instrText xml:space="preserve"> HYPERLINK \l _Toc25426 </w:instrText>
      </w:r>
      <w:r>
        <w:rPr>
          <w:rFonts w:hint="eastAsia"/>
        </w:rPr>
        <w:fldChar w:fldCharType="separate"/>
      </w:r>
      <w:r>
        <w:rPr>
          <w:rFonts w:hint="eastAsia"/>
          <w:lang w:val="en-US" w:eastAsia="zh-CN"/>
        </w:rPr>
        <w:t>案例6：书香浸润校园阅读启迪未来</w:t>
      </w:r>
      <w:r>
        <w:tab/>
      </w:r>
      <w:r>
        <w:fldChar w:fldCharType="begin"/>
      </w:r>
      <w:r>
        <w:instrText xml:space="preserve"> PAGEREF _Toc25426 \h </w:instrText>
      </w:r>
      <w:r>
        <w:fldChar w:fldCharType="separate"/>
      </w:r>
      <w:r>
        <w:t>89</w:t>
      </w:r>
      <w:r>
        <w:fldChar w:fldCharType="end"/>
      </w:r>
      <w:r>
        <w:rPr>
          <w:rFonts w:hint="eastAsia"/>
        </w:rPr>
        <w:fldChar w:fldCharType="end"/>
      </w:r>
    </w:p>
    <w:p w14:paraId="04EFDC37">
      <w:pPr>
        <w:pStyle w:val="18"/>
        <w:tabs>
          <w:tab w:val="right" w:leader="dot" w:pos="8845"/>
        </w:tabs>
      </w:pPr>
      <w:r>
        <w:rPr>
          <w:rFonts w:hint="eastAsia"/>
        </w:rPr>
        <w:fldChar w:fldCharType="begin"/>
      </w:r>
      <w:r>
        <w:rPr>
          <w:rFonts w:hint="eastAsia"/>
        </w:rPr>
        <w:instrText xml:space="preserve"> HYPERLINK \l _Toc19478 </w:instrText>
      </w:r>
      <w:r>
        <w:rPr>
          <w:rFonts w:hint="eastAsia"/>
        </w:rPr>
        <w:fldChar w:fldCharType="separate"/>
      </w:r>
      <w:r>
        <w:rPr>
          <w:rFonts w:hint="eastAsia"/>
          <w:lang w:val="en-US" w:eastAsia="zh-CN"/>
        </w:rPr>
        <w:t>案例7：产教融合贯通培养校企携手共话发展</w:t>
      </w:r>
      <w:r>
        <w:tab/>
      </w:r>
      <w:r>
        <w:fldChar w:fldCharType="begin"/>
      </w:r>
      <w:r>
        <w:instrText xml:space="preserve"> PAGEREF _Toc19478 \h </w:instrText>
      </w:r>
      <w:r>
        <w:fldChar w:fldCharType="separate"/>
      </w:r>
      <w:r>
        <w:t>92</w:t>
      </w:r>
      <w:r>
        <w:fldChar w:fldCharType="end"/>
      </w:r>
      <w:r>
        <w:rPr>
          <w:rFonts w:hint="eastAsia"/>
        </w:rPr>
        <w:fldChar w:fldCharType="end"/>
      </w:r>
    </w:p>
    <w:p w14:paraId="59B57EE9">
      <w:pPr>
        <w:pStyle w:val="18"/>
        <w:tabs>
          <w:tab w:val="right" w:leader="dot" w:pos="8845"/>
        </w:tabs>
      </w:pPr>
      <w:r>
        <w:rPr>
          <w:rFonts w:hint="eastAsia"/>
        </w:rPr>
        <w:fldChar w:fldCharType="begin"/>
      </w:r>
      <w:r>
        <w:rPr>
          <w:rFonts w:hint="eastAsia"/>
        </w:rPr>
        <w:instrText xml:space="preserve"> HYPERLINK \l _Toc1415 </w:instrText>
      </w:r>
      <w:r>
        <w:rPr>
          <w:rFonts w:hint="eastAsia"/>
        </w:rPr>
        <w:fldChar w:fldCharType="separate"/>
      </w:r>
      <w:r>
        <w:rPr>
          <w:rFonts w:hint="eastAsia"/>
          <w:lang w:val="en-US" w:eastAsia="zh-CN"/>
        </w:rPr>
        <w:t>案例8：中职智能制造现代产业学院建设与创新实践</w:t>
      </w:r>
      <w:r>
        <w:tab/>
      </w:r>
      <w:r>
        <w:fldChar w:fldCharType="begin"/>
      </w:r>
      <w:r>
        <w:instrText xml:space="preserve"> PAGEREF _Toc1415 \h </w:instrText>
      </w:r>
      <w:r>
        <w:fldChar w:fldCharType="separate"/>
      </w:r>
      <w:r>
        <w:t>94</w:t>
      </w:r>
      <w:r>
        <w:fldChar w:fldCharType="end"/>
      </w:r>
      <w:r>
        <w:rPr>
          <w:rFonts w:hint="eastAsia"/>
        </w:rPr>
        <w:fldChar w:fldCharType="end"/>
      </w:r>
    </w:p>
    <w:p w14:paraId="463CDCB7">
      <w:pPr>
        <w:pStyle w:val="18"/>
        <w:tabs>
          <w:tab w:val="right" w:leader="dot" w:pos="8845"/>
        </w:tabs>
      </w:pPr>
      <w:r>
        <w:rPr>
          <w:rFonts w:hint="eastAsia"/>
        </w:rPr>
        <w:fldChar w:fldCharType="begin"/>
      </w:r>
      <w:r>
        <w:rPr>
          <w:rFonts w:hint="eastAsia"/>
        </w:rPr>
        <w:instrText xml:space="preserve"> HYPERLINK \l _Toc13481 </w:instrText>
      </w:r>
      <w:r>
        <w:rPr>
          <w:rFonts w:hint="eastAsia"/>
        </w:rPr>
        <w:fldChar w:fldCharType="separate"/>
      </w:r>
      <w:r>
        <w:rPr>
          <w:rFonts w:hint="eastAsia"/>
          <w:lang w:val="en-US" w:eastAsia="zh-CN"/>
        </w:rPr>
        <w:t>案例9：校企携手共建“六位一体”电商产教融合实训基地，铸就命运共同体</w:t>
      </w:r>
      <w:r>
        <w:tab/>
      </w:r>
      <w:r>
        <w:fldChar w:fldCharType="begin"/>
      </w:r>
      <w:r>
        <w:instrText xml:space="preserve"> PAGEREF _Toc13481 \h </w:instrText>
      </w:r>
      <w:r>
        <w:fldChar w:fldCharType="separate"/>
      </w:r>
      <w:r>
        <w:t>96</w:t>
      </w:r>
      <w:r>
        <w:fldChar w:fldCharType="end"/>
      </w:r>
      <w:r>
        <w:rPr>
          <w:rFonts w:hint="eastAsia"/>
        </w:rPr>
        <w:fldChar w:fldCharType="end"/>
      </w:r>
    </w:p>
    <w:p w14:paraId="30D2D38A">
      <w:pPr>
        <w:pStyle w:val="18"/>
        <w:tabs>
          <w:tab w:val="right" w:leader="dot" w:pos="8845"/>
        </w:tabs>
      </w:pPr>
      <w:r>
        <w:rPr>
          <w:rFonts w:hint="eastAsia"/>
        </w:rPr>
        <w:fldChar w:fldCharType="begin"/>
      </w:r>
      <w:r>
        <w:rPr>
          <w:rFonts w:hint="eastAsia"/>
        </w:rPr>
        <w:instrText xml:space="preserve"> HYPERLINK \l _Toc12497 </w:instrText>
      </w:r>
      <w:r>
        <w:rPr>
          <w:rFonts w:hint="eastAsia"/>
        </w:rPr>
        <w:fldChar w:fldCharType="separate"/>
      </w:r>
      <w:r>
        <w:rPr>
          <w:rFonts w:hint="eastAsia"/>
          <w:lang w:val="en-US" w:eastAsia="zh-CN"/>
        </w:rPr>
        <w:t>案例10：培训促就业，“按”出美好生活—开展盲人按摩保健提升培训</w:t>
      </w:r>
      <w:r>
        <w:tab/>
      </w:r>
      <w:r>
        <w:fldChar w:fldCharType="begin"/>
      </w:r>
      <w:r>
        <w:instrText xml:space="preserve"> PAGEREF _Toc12497 \h </w:instrText>
      </w:r>
      <w:r>
        <w:fldChar w:fldCharType="separate"/>
      </w:r>
      <w:r>
        <w:t>98</w:t>
      </w:r>
      <w:r>
        <w:fldChar w:fldCharType="end"/>
      </w:r>
      <w:r>
        <w:rPr>
          <w:rFonts w:hint="eastAsia"/>
        </w:rPr>
        <w:fldChar w:fldCharType="end"/>
      </w:r>
    </w:p>
    <w:p w14:paraId="77D9C163">
      <w:pPr>
        <w:pStyle w:val="18"/>
        <w:tabs>
          <w:tab w:val="right" w:leader="dot" w:pos="8845"/>
        </w:tabs>
      </w:pPr>
      <w:r>
        <w:rPr>
          <w:rFonts w:hint="eastAsia"/>
        </w:rPr>
        <w:fldChar w:fldCharType="begin"/>
      </w:r>
      <w:r>
        <w:rPr>
          <w:rFonts w:hint="eastAsia"/>
        </w:rPr>
        <w:instrText xml:space="preserve"> HYPERLINK \l _Toc3040 </w:instrText>
      </w:r>
      <w:r>
        <w:rPr>
          <w:rFonts w:hint="eastAsia"/>
        </w:rPr>
        <w:fldChar w:fldCharType="separate"/>
      </w:r>
      <w:r>
        <w:rPr>
          <w:rFonts w:hint="eastAsia"/>
          <w:lang w:val="en-US" w:eastAsia="zh-CN"/>
        </w:rPr>
        <w:t>案例11：桥联匠心，共筑慧梦，育邻同行高星级饭店运营与管理专业辐射社区服务</w:t>
      </w:r>
      <w:r>
        <w:tab/>
      </w:r>
      <w:r>
        <w:fldChar w:fldCharType="begin"/>
      </w:r>
      <w:r>
        <w:instrText xml:space="preserve"> PAGEREF _Toc3040 \h </w:instrText>
      </w:r>
      <w:r>
        <w:fldChar w:fldCharType="separate"/>
      </w:r>
      <w:r>
        <w:t>101</w:t>
      </w:r>
      <w:r>
        <w:fldChar w:fldCharType="end"/>
      </w:r>
      <w:r>
        <w:rPr>
          <w:rFonts w:hint="eastAsia"/>
        </w:rPr>
        <w:fldChar w:fldCharType="end"/>
      </w:r>
    </w:p>
    <w:p w14:paraId="1FAFCA93">
      <w:pPr>
        <w:pStyle w:val="18"/>
        <w:tabs>
          <w:tab w:val="right" w:leader="dot" w:pos="8845"/>
        </w:tabs>
      </w:pPr>
      <w:r>
        <w:rPr>
          <w:rFonts w:hint="eastAsia"/>
        </w:rPr>
        <w:fldChar w:fldCharType="begin"/>
      </w:r>
      <w:r>
        <w:rPr>
          <w:rFonts w:hint="eastAsia"/>
        </w:rPr>
        <w:instrText xml:space="preserve"> HYPERLINK \l _Toc1933 </w:instrText>
      </w:r>
      <w:r>
        <w:rPr>
          <w:rFonts w:hint="eastAsia"/>
        </w:rPr>
        <w:fldChar w:fldCharType="separate"/>
      </w:r>
      <w:r>
        <w:rPr>
          <w:rFonts w:hint="eastAsia"/>
          <w:lang w:val="en-US" w:eastAsia="zh-CN"/>
        </w:rPr>
        <w:t>案例12：“同心圆”桑梓课程文化建设实现中职学生发展与乡村振兴的双向奔赴</w:t>
      </w:r>
      <w:r>
        <w:tab/>
      </w:r>
      <w:r>
        <w:fldChar w:fldCharType="begin"/>
      </w:r>
      <w:r>
        <w:instrText xml:space="preserve"> PAGEREF _Toc1933 \h </w:instrText>
      </w:r>
      <w:r>
        <w:fldChar w:fldCharType="separate"/>
      </w:r>
      <w:r>
        <w:t>104</w:t>
      </w:r>
      <w:r>
        <w:fldChar w:fldCharType="end"/>
      </w:r>
      <w:r>
        <w:rPr>
          <w:rFonts w:hint="eastAsia"/>
        </w:rPr>
        <w:fldChar w:fldCharType="end"/>
      </w:r>
    </w:p>
    <w:p w14:paraId="1A00FE3C">
      <w:pPr>
        <w:pStyle w:val="18"/>
        <w:tabs>
          <w:tab w:val="right" w:leader="dot" w:pos="8845"/>
        </w:tabs>
      </w:pPr>
      <w:r>
        <w:rPr>
          <w:rFonts w:hint="eastAsia"/>
        </w:rPr>
        <w:fldChar w:fldCharType="begin"/>
      </w:r>
      <w:r>
        <w:rPr>
          <w:rFonts w:hint="eastAsia"/>
        </w:rPr>
        <w:instrText xml:space="preserve"> HYPERLINK \l _Toc15278 </w:instrText>
      </w:r>
      <w:r>
        <w:rPr>
          <w:rFonts w:hint="eastAsia"/>
        </w:rPr>
        <w:fldChar w:fldCharType="separate"/>
      </w:r>
      <w:r>
        <w:rPr>
          <w:rFonts w:hint="eastAsia"/>
          <w:lang w:val="en-US" w:eastAsia="zh-CN"/>
        </w:rPr>
        <w:t>案例13：非遗文化赋能专业建设</w:t>
      </w:r>
      <w:r>
        <w:tab/>
      </w:r>
      <w:r>
        <w:fldChar w:fldCharType="begin"/>
      </w:r>
      <w:r>
        <w:instrText xml:space="preserve"> PAGEREF _Toc15278 \h </w:instrText>
      </w:r>
      <w:r>
        <w:fldChar w:fldCharType="separate"/>
      </w:r>
      <w:r>
        <w:t>106</w:t>
      </w:r>
      <w:r>
        <w:fldChar w:fldCharType="end"/>
      </w:r>
      <w:r>
        <w:rPr>
          <w:rFonts w:hint="eastAsia"/>
        </w:rPr>
        <w:fldChar w:fldCharType="end"/>
      </w:r>
    </w:p>
    <w:p w14:paraId="5614DC5E">
      <w:pPr>
        <w:pStyle w:val="18"/>
        <w:tabs>
          <w:tab w:val="right" w:leader="dot" w:pos="8845"/>
        </w:tabs>
      </w:pPr>
      <w:r>
        <w:rPr>
          <w:rFonts w:hint="eastAsia"/>
        </w:rPr>
        <w:fldChar w:fldCharType="begin"/>
      </w:r>
      <w:r>
        <w:rPr>
          <w:rFonts w:hint="eastAsia"/>
        </w:rPr>
        <w:instrText xml:space="preserve"> HYPERLINK \l _Toc192 </w:instrText>
      </w:r>
      <w:r>
        <w:rPr>
          <w:rFonts w:hint="eastAsia"/>
        </w:rPr>
        <w:fldChar w:fldCharType="separate"/>
      </w:r>
      <w:r>
        <w:rPr>
          <w:rFonts w:hint="eastAsia"/>
          <w:lang w:val="en-US" w:eastAsia="zh-CN"/>
        </w:rPr>
        <w:t>案例14：工匠文化打造“龙门工匠”</w:t>
      </w:r>
      <w:r>
        <w:tab/>
      </w:r>
      <w:r>
        <w:fldChar w:fldCharType="begin"/>
      </w:r>
      <w:r>
        <w:instrText xml:space="preserve"> PAGEREF _Toc192 \h </w:instrText>
      </w:r>
      <w:r>
        <w:fldChar w:fldCharType="separate"/>
      </w:r>
      <w:r>
        <w:t>108</w:t>
      </w:r>
      <w:r>
        <w:fldChar w:fldCharType="end"/>
      </w:r>
      <w:r>
        <w:rPr>
          <w:rFonts w:hint="eastAsia"/>
        </w:rPr>
        <w:fldChar w:fldCharType="end"/>
      </w:r>
    </w:p>
    <w:p w14:paraId="313F490F">
      <w:pPr>
        <w:pStyle w:val="18"/>
        <w:tabs>
          <w:tab w:val="right" w:leader="dot" w:pos="8845"/>
        </w:tabs>
      </w:pPr>
      <w:r>
        <w:rPr>
          <w:rFonts w:hint="eastAsia"/>
        </w:rPr>
        <w:fldChar w:fldCharType="begin"/>
      </w:r>
      <w:r>
        <w:rPr>
          <w:rFonts w:hint="eastAsia"/>
        </w:rPr>
        <w:instrText xml:space="preserve"> HYPERLINK \l _Toc18522 </w:instrText>
      </w:r>
      <w:r>
        <w:rPr>
          <w:rFonts w:hint="eastAsia"/>
        </w:rPr>
        <w:fldChar w:fldCharType="separate"/>
      </w:r>
      <w:r>
        <w:rPr>
          <w:rFonts w:hint="eastAsia"/>
          <w:lang w:val="en-US" w:eastAsia="zh-CN"/>
        </w:rPr>
        <w:t>案例15：传承红岩精神，铸就新时代职教典范</w:t>
      </w:r>
      <w:r>
        <w:tab/>
      </w:r>
      <w:r>
        <w:fldChar w:fldCharType="begin"/>
      </w:r>
      <w:r>
        <w:instrText xml:space="preserve"> PAGEREF _Toc18522 \h </w:instrText>
      </w:r>
      <w:r>
        <w:fldChar w:fldCharType="separate"/>
      </w:r>
      <w:r>
        <w:t>111</w:t>
      </w:r>
      <w:r>
        <w:fldChar w:fldCharType="end"/>
      </w:r>
      <w:r>
        <w:rPr>
          <w:rFonts w:hint="eastAsia"/>
        </w:rPr>
        <w:fldChar w:fldCharType="end"/>
      </w:r>
    </w:p>
    <w:p w14:paraId="4DCD3792">
      <w:pPr>
        <w:pStyle w:val="18"/>
        <w:tabs>
          <w:tab w:val="right" w:leader="dot" w:pos="8845"/>
        </w:tabs>
      </w:pPr>
      <w:r>
        <w:rPr>
          <w:rFonts w:hint="eastAsia"/>
        </w:rPr>
        <w:fldChar w:fldCharType="begin"/>
      </w:r>
      <w:r>
        <w:rPr>
          <w:rFonts w:hint="eastAsia"/>
        </w:rPr>
        <w:instrText xml:space="preserve"> HYPERLINK \l _Toc15242 </w:instrText>
      </w:r>
      <w:r>
        <w:rPr>
          <w:rFonts w:hint="eastAsia"/>
        </w:rPr>
        <w:fldChar w:fldCharType="separate"/>
      </w:r>
      <w:r>
        <w:rPr>
          <w:rFonts w:hint="eastAsia"/>
          <w:lang w:val="en-US" w:eastAsia="zh-CN"/>
        </w:rPr>
        <w:t>案例16：标准明方向，开发正启程</w:t>
      </w:r>
      <w:r>
        <w:tab/>
      </w:r>
      <w:r>
        <w:fldChar w:fldCharType="begin"/>
      </w:r>
      <w:r>
        <w:instrText xml:space="preserve"> PAGEREF _Toc15242 \h </w:instrText>
      </w:r>
      <w:r>
        <w:fldChar w:fldCharType="separate"/>
      </w:r>
      <w:r>
        <w:t>113</w:t>
      </w:r>
      <w:r>
        <w:fldChar w:fldCharType="end"/>
      </w:r>
      <w:r>
        <w:rPr>
          <w:rFonts w:hint="eastAsia"/>
        </w:rPr>
        <w:fldChar w:fldCharType="end"/>
      </w:r>
    </w:p>
    <w:p w14:paraId="3C374461">
      <w:pPr>
        <w:pStyle w:val="18"/>
        <w:tabs>
          <w:tab w:val="right" w:leader="dot" w:pos="8845"/>
        </w:tabs>
      </w:pPr>
      <w:r>
        <w:rPr>
          <w:rFonts w:hint="eastAsia"/>
        </w:rPr>
        <w:fldChar w:fldCharType="begin"/>
      </w:r>
      <w:r>
        <w:rPr>
          <w:rFonts w:hint="eastAsia"/>
        </w:rPr>
        <w:instrText xml:space="preserve"> HYPERLINK \l _Toc6321 </w:instrText>
      </w:r>
      <w:r>
        <w:rPr>
          <w:rFonts w:hint="eastAsia"/>
        </w:rPr>
        <w:fldChar w:fldCharType="separate"/>
      </w:r>
      <w:r>
        <w:rPr>
          <w:rFonts w:hint="eastAsia"/>
          <w:lang w:val="en-US" w:eastAsia="zh-CN"/>
        </w:rPr>
        <w:t>案例17：金砖聚智，数据生辉：引领国际技能标准新篇章</w:t>
      </w:r>
      <w:r>
        <w:tab/>
      </w:r>
      <w:r>
        <w:fldChar w:fldCharType="begin"/>
      </w:r>
      <w:r>
        <w:instrText xml:space="preserve"> PAGEREF _Toc6321 \h </w:instrText>
      </w:r>
      <w:r>
        <w:fldChar w:fldCharType="separate"/>
      </w:r>
      <w:r>
        <w:t>115</w:t>
      </w:r>
      <w:r>
        <w:fldChar w:fldCharType="end"/>
      </w:r>
      <w:r>
        <w:rPr>
          <w:rFonts w:hint="eastAsia"/>
        </w:rPr>
        <w:fldChar w:fldCharType="end"/>
      </w:r>
    </w:p>
    <w:p w14:paraId="1DC820E7">
      <w:pPr>
        <w:pStyle w:val="18"/>
        <w:tabs>
          <w:tab w:val="right" w:leader="dot" w:pos="8845"/>
        </w:tabs>
      </w:pPr>
      <w:r>
        <w:rPr>
          <w:rFonts w:hint="eastAsia"/>
        </w:rPr>
        <w:fldChar w:fldCharType="begin"/>
      </w:r>
      <w:r>
        <w:rPr>
          <w:rFonts w:hint="eastAsia"/>
        </w:rPr>
        <w:instrText xml:space="preserve"> HYPERLINK \l _Toc24326 </w:instrText>
      </w:r>
      <w:r>
        <w:rPr>
          <w:rFonts w:hint="eastAsia"/>
        </w:rPr>
        <w:fldChar w:fldCharType="separate"/>
      </w:r>
      <w:r>
        <w:rPr>
          <w:rFonts w:hint="eastAsia"/>
          <w:lang w:val="en-US" w:eastAsia="zh-CN"/>
        </w:rPr>
        <w:t>案例18：世赛工业机械项目重庆集训基地建设与创新实践</w:t>
      </w:r>
      <w:r>
        <w:tab/>
      </w:r>
      <w:r>
        <w:fldChar w:fldCharType="begin"/>
      </w:r>
      <w:r>
        <w:instrText xml:space="preserve"> PAGEREF _Toc24326 \h </w:instrText>
      </w:r>
      <w:r>
        <w:fldChar w:fldCharType="separate"/>
      </w:r>
      <w:r>
        <w:t>117</w:t>
      </w:r>
      <w:r>
        <w:fldChar w:fldCharType="end"/>
      </w:r>
      <w:r>
        <w:rPr>
          <w:rFonts w:hint="eastAsia"/>
        </w:rPr>
        <w:fldChar w:fldCharType="end"/>
      </w:r>
    </w:p>
    <w:p w14:paraId="3A53A303">
      <w:pPr>
        <w:pStyle w:val="18"/>
        <w:tabs>
          <w:tab w:val="right" w:leader="dot" w:pos="8845"/>
        </w:tabs>
      </w:pPr>
      <w:r>
        <w:rPr>
          <w:rFonts w:hint="eastAsia"/>
        </w:rPr>
        <w:fldChar w:fldCharType="begin"/>
      </w:r>
      <w:r>
        <w:rPr>
          <w:rFonts w:hint="eastAsia"/>
        </w:rPr>
        <w:instrText xml:space="preserve"> HYPERLINK \l _Toc29260 </w:instrText>
      </w:r>
      <w:r>
        <w:rPr>
          <w:rFonts w:hint="eastAsia"/>
        </w:rPr>
        <w:fldChar w:fldCharType="separate"/>
      </w:r>
      <w:r>
        <w:rPr>
          <w:rFonts w:hint="eastAsia"/>
          <w:lang w:val="en-US" w:eastAsia="zh-CN"/>
        </w:rPr>
        <w:t>案例19：扎实推进“以案为鉴、以案促改、以案促治”工作</w:t>
      </w:r>
      <w:r>
        <w:tab/>
      </w:r>
      <w:r>
        <w:fldChar w:fldCharType="begin"/>
      </w:r>
      <w:r>
        <w:instrText xml:space="preserve"> PAGEREF _Toc29260 \h </w:instrText>
      </w:r>
      <w:r>
        <w:fldChar w:fldCharType="separate"/>
      </w:r>
      <w:r>
        <w:t>119</w:t>
      </w:r>
      <w:r>
        <w:fldChar w:fldCharType="end"/>
      </w:r>
      <w:r>
        <w:rPr>
          <w:rFonts w:hint="eastAsia"/>
        </w:rPr>
        <w:fldChar w:fldCharType="end"/>
      </w:r>
    </w:p>
    <w:p w14:paraId="289A1D8F">
      <w:pPr>
        <w:pStyle w:val="18"/>
        <w:tabs>
          <w:tab w:val="right" w:leader="dot" w:pos="8845"/>
        </w:tabs>
      </w:pPr>
      <w:r>
        <w:rPr>
          <w:rFonts w:hint="eastAsia"/>
        </w:rPr>
        <w:fldChar w:fldCharType="begin"/>
      </w:r>
      <w:r>
        <w:rPr>
          <w:rFonts w:hint="eastAsia"/>
        </w:rPr>
        <w:instrText xml:space="preserve"> HYPERLINK \l _Toc8412 </w:instrText>
      </w:r>
      <w:r>
        <w:rPr>
          <w:rFonts w:hint="eastAsia"/>
        </w:rPr>
        <w:fldChar w:fldCharType="separate"/>
      </w:r>
      <w:r>
        <w:rPr>
          <w:rFonts w:hint="eastAsia"/>
          <w:lang w:val="en-US" w:eastAsia="zh-CN"/>
        </w:rPr>
        <w:t>案例22：深化安全教育，共建安全港湾</w:t>
      </w:r>
      <w:r>
        <w:tab/>
      </w:r>
      <w:r>
        <w:fldChar w:fldCharType="begin"/>
      </w:r>
      <w:r>
        <w:instrText xml:space="preserve"> PAGEREF _Toc8412 \h </w:instrText>
      </w:r>
      <w:r>
        <w:fldChar w:fldCharType="separate"/>
      </w:r>
      <w:r>
        <w:t>125</w:t>
      </w:r>
      <w:r>
        <w:fldChar w:fldCharType="end"/>
      </w:r>
      <w:r>
        <w:rPr>
          <w:rFonts w:hint="eastAsia"/>
        </w:rPr>
        <w:fldChar w:fldCharType="end"/>
      </w:r>
    </w:p>
    <w:p w14:paraId="5AAE3088">
      <w:pPr>
        <w:pStyle w:val="18"/>
        <w:tabs>
          <w:tab w:val="right" w:leader="dot" w:pos="8845"/>
        </w:tabs>
      </w:pPr>
      <w:r>
        <w:rPr>
          <w:rFonts w:hint="eastAsia"/>
        </w:rPr>
        <w:fldChar w:fldCharType="begin"/>
      </w:r>
      <w:r>
        <w:rPr>
          <w:rFonts w:hint="eastAsia"/>
        </w:rPr>
        <w:instrText xml:space="preserve"> HYPERLINK \l _Toc13686 </w:instrText>
      </w:r>
      <w:r>
        <w:rPr>
          <w:rFonts w:hint="eastAsia"/>
        </w:rPr>
        <w:fldChar w:fldCharType="separate"/>
      </w:r>
      <w:r>
        <w:rPr>
          <w:rFonts w:hint="eastAsia"/>
          <w:lang w:val="en-US" w:eastAsia="zh-CN"/>
        </w:rPr>
        <w:t>案例23：“粮辰美景•不负食光”美食节</w:t>
      </w:r>
      <w:r>
        <w:tab/>
      </w:r>
      <w:r>
        <w:fldChar w:fldCharType="begin"/>
      </w:r>
      <w:r>
        <w:instrText xml:space="preserve"> PAGEREF _Toc13686 \h </w:instrText>
      </w:r>
      <w:r>
        <w:fldChar w:fldCharType="separate"/>
      </w:r>
      <w:r>
        <w:t>128</w:t>
      </w:r>
      <w:r>
        <w:fldChar w:fldCharType="end"/>
      </w:r>
      <w:r>
        <w:rPr>
          <w:rFonts w:hint="eastAsia"/>
        </w:rPr>
        <w:fldChar w:fldCharType="end"/>
      </w:r>
    </w:p>
    <w:p w14:paraId="3C94C93F">
      <w:pPr>
        <w:pStyle w:val="18"/>
        <w:tabs>
          <w:tab w:val="right" w:leader="dot" w:pos="8845"/>
        </w:tabs>
      </w:pPr>
      <w:r>
        <w:rPr>
          <w:rFonts w:hint="eastAsia"/>
        </w:rPr>
        <w:fldChar w:fldCharType="begin"/>
      </w:r>
      <w:r>
        <w:rPr>
          <w:rFonts w:hint="eastAsia"/>
        </w:rPr>
        <w:instrText xml:space="preserve"> HYPERLINK \l _Toc32766 </w:instrText>
      </w:r>
      <w:r>
        <w:rPr>
          <w:rFonts w:hint="eastAsia"/>
        </w:rPr>
        <w:fldChar w:fldCharType="separate"/>
      </w:r>
      <w:r>
        <w:rPr>
          <w:rFonts w:hint="eastAsia"/>
          <w:lang w:val="en-US" w:eastAsia="zh-CN"/>
        </w:rPr>
        <w:t>案例24：师道永续匠心传承</w:t>
      </w:r>
      <w:r>
        <w:tab/>
      </w:r>
      <w:r>
        <w:fldChar w:fldCharType="begin"/>
      </w:r>
      <w:r>
        <w:instrText xml:space="preserve"> PAGEREF _Toc32766 \h </w:instrText>
      </w:r>
      <w:r>
        <w:fldChar w:fldCharType="separate"/>
      </w:r>
      <w:r>
        <w:t>131</w:t>
      </w:r>
      <w:r>
        <w:fldChar w:fldCharType="end"/>
      </w:r>
      <w:r>
        <w:rPr>
          <w:rFonts w:hint="eastAsia"/>
        </w:rPr>
        <w:fldChar w:fldCharType="end"/>
      </w:r>
    </w:p>
    <w:p w14:paraId="3082D2A3">
      <w:pPr>
        <w:pStyle w:val="18"/>
        <w:tabs>
          <w:tab w:val="right" w:leader="dot" w:pos="8845"/>
        </w:tabs>
      </w:pPr>
      <w:r>
        <w:rPr>
          <w:rFonts w:hint="eastAsia"/>
        </w:rPr>
        <w:fldChar w:fldCharType="begin"/>
      </w:r>
      <w:r>
        <w:rPr>
          <w:rFonts w:hint="eastAsia"/>
        </w:rPr>
        <w:instrText xml:space="preserve"> HYPERLINK \l _Toc3026 </w:instrText>
      </w:r>
      <w:r>
        <w:rPr>
          <w:rFonts w:hint="eastAsia"/>
        </w:rPr>
        <w:fldChar w:fldCharType="separate"/>
      </w:r>
      <w:r>
        <w:rPr>
          <w:rFonts w:hint="eastAsia"/>
          <w:lang w:val="en-US" w:eastAsia="zh-CN"/>
        </w:rPr>
        <w:t>案例:25：预防传染病健康伴我行</w:t>
      </w:r>
      <w:r>
        <w:tab/>
      </w:r>
      <w:r>
        <w:fldChar w:fldCharType="begin"/>
      </w:r>
      <w:r>
        <w:instrText xml:space="preserve"> PAGEREF _Toc3026 \h </w:instrText>
      </w:r>
      <w:r>
        <w:fldChar w:fldCharType="separate"/>
      </w:r>
      <w:r>
        <w:t>134</w:t>
      </w:r>
      <w:r>
        <w:fldChar w:fldCharType="end"/>
      </w:r>
      <w:r>
        <w:rPr>
          <w:rFonts w:hint="eastAsia"/>
        </w:rPr>
        <w:fldChar w:fldCharType="end"/>
      </w:r>
    </w:p>
    <w:p w14:paraId="543701C4">
      <w:pPr>
        <w:pStyle w:val="18"/>
        <w:tabs>
          <w:tab w:val="right" w:leader="dot" w:pos="8845"/>
        </w:tabs>
      </w:pPr>
      <w:r>
        <w:rPr>
          <w:rFonts w:hint="eastAsia"/>
        </w:rPr>
        <w:fldChar w:fldCharType="begin"/>
      </w:r>
      <w:r>
        <w:rPr>
          <w:rFonts w:hint="eastAsia"/>
        </w:rPr>
        <w:instrText xml:space="preserve"> HYPERLINK \l _Toc22719 </w:instrText>
      </w:r>
      <w:r>
        <w:rPr>
          <w:rFonts w:hint="eastAsia"/>
        </w:rPr>
        <w:fldChar w:fldCharType="separate"/>
      </w:r>
      <w:r>
        <w:rPr>
          <w:rFonts w:hint="eastAsia"/>
          <w:lang w:val="en-US" w:eastAsia="zh-CN"/>
        </w:rPr>
        <w:t>案例26：校内技能常比赛德技双馨展风采</w:t>
      </w:r>
      <w:r>
        <w:tab/>
      </w:r>
      <w:r>
        <w:fldChar w:fldCharType="begin"/>
      </w:r>
      <w:r>
        <w:instrText xml:space="preserve"> PAGEREF _Toc22719 \h </w:instrText>
      </w:r>
      <w:r>
        <w:fldChar w:fldCharType="separate"/>
      </w:r>
      <w:r>
        <w:t>136</w:t>
      </w:r>
      <w:r>
        <w:fldChar w:fldCharType="end"/>
      </w:r>
      <w:r>
        <w:rPr>
          <w:rFonts w:hint="eastAsia"/>
        </w:rPr>
        <w:fldChar w:fldCharType="end"/>
      </w:r>
    </w:p>
    <w:p w14:paraId="7806DE4A">
      <w:pPr>
        <w:pStyle w:val="18"/>
        <w:tabs>
          <w:tab w:val="right" w:leader="dot" w:pos="8845"/>
        </w:tabs>
      </w:pPr>
      <w:r>
        <w:rPr>
          <w:rFonts w:hint="eastAsia"/>
        </w:rPr>
        <w:fldChar w:fldCharType="begin"/>
      </w:r>
      <w:r>
        <w:rPr>
          <w:rFonts w:hint="eastAsia"/>
        </w:rPr>
        <w:instrText xml:space="preserve"> HYPERLINK \l _Toc18605 </w:instrText>
      </w:r>
      <w:r>
        <w:rPr>
          <w:rFonts w:hint="eastAsia"/>
        </w:rPr>
        <w:fldChar w:fldCharType="separate"/>
      </w:r>
      <w:r>
        <w:rPr>
          <w:rFonts w:hint="eastAsia"/>
          <w:lang w:val="en-US" w:eastAsia="zh-CN"/>
        </w:rPr>
        <w:t>案例27：群“新”璀璨未来可期——迎新系列活动</w:t>
      </w:r>
      <w:r>
        <w:tab/>
      </w:r>
      <w:r>
        <w:fldChar w:fldCharType="begin"/>
      </w:r>
      <w:r>
        <w:instrText xml:space="preserve"> PAGEREF _Toc18605 \h </w:instrText>
      </w:r>
      <w:r>
        <w:fldChar w:fldCharType="separate"/>
      </w:r>
      <w:r>
        <w:t>139</w:t>
      </w:r>
      <w:r>
        <w:fldChar w:fldCharType="end"/>
      </w:r>
      <w:r>
        <w:rPr>
          <w:rFonts w:hint="eastAsia"/>
        </w:rPr>
        <w:fldChar w:fldCharType="end"/>
      </w:r>
    </w:p>
    <w:p w14:paraId="44C3E601">
      <w:pPr>
        <w:pStyle w:val="18"/>
        <w:tabs>
          <w:tab w:val="right" w:leader="dot" w:pos="8845"/>
        </w:tabs>
      </w:pPr>
      <w:r>
        <w:rPr>
          <w:rFonts w:hint="eastAsia"/>
        </w:rPr>
        <w:fldChar w:fldCharType="begin"/>
      </w:r>
      <w:r>
        <w:rPr>
          <w:rFonts w:hint="eastAsia"/>
        </w:rPr>
        <w:instrText xml:space="preserve"> HYPERLINK \l _Toc15605 </w:instrText>
      </w:r>
      <w:r>
        <w:rPr>
          <w:rFonts w:hint="eastAsia"/>
        </w:rPr>
        <w:fldChar w:fldCharType="separate"/>
      </w:r>
      <w:r>
        <w:rPr>
          <w:rFonts w:hint="eastAsia"/>
          <w:lang w:val="en-US" w:eastAsia="zh-CN"/>
        </w:rPr>
        <w:t>案例28：心系国防有你有我——国防训练</w:t>
      </w:r>
      <w:r>
        <w:tab/>
      </w:r>
      <w:r>
        <w:fldChar w:fldCharType="begin"/>
      </w:r>
      <w:r>
        <w:instrText xml:space="preserve"> PAGEREF _Toc15605 \h </w:instrText>
      </w:r>
      <w:r>
        <w:fldChar w:fldCharType="separate"/>
      </w:r>
      <w:r>
        <w:t>142</w:t>
      </w:r>
      <w:r>
        <w:fldChar w:fldCharType="end"/>
      </w:r>
      <w:r>
        <w:rPr>
          <w:rFonts w:hint="eastAsia"/>
        </w:rPr>
        <w:fldChar w:fldCharType="end"/>
      </w:r>
    </w:p>
    <w:p w14:paraId="4C419A17">
      <w:pPr>
        <w:pStyle w:val="18"/>
        <w:tabs>
          <w:tab w:val="right" w:leader="dot" w:pos="8845"/>
        </w:tabs>
      </w:pPr>
      <w:r>
        <w:rPr>
          <w:rFonts w:hint="eastAsia"/>
        </w:rPr>
        <w:fldChar w:fldCharType="begin"/>
      </w:r>
      <w:r>
        <w:rPr>
          <w:rFonts w:hint="eastAsia"/>
        </w:rPr>
        <w:instrText xml:space="preserve"> HYPERLINK \l _Toc31571 </w:instrText>
      </w:r>
      <w:r>
        <w:rPr>
          <w:rFonts w:hint="eastAsia"/>
        </w:rPr>
        <w:fldChar w:fldCharType="separate"/>
      </w:r>
      <w:r>
        <w:rPr>
          <w:rFonts w:hint="eastAsia"/>
          <w:lang w:val="en-US" w:eastAsia="zh-CN"/>
        </w:rPr>
        <w:t>案例29：一技在手一生无忧——职教活动周</w:t>
      </w:r>
      <w:r>
        <w:tab/>
      </w:r>
      <w:r>
        <w:fldChar w:fldCharType="begin"/>
      </w:r>
      <w:r>
        <w:instrText xml:space="preserve"> PAGEREF _Toc31571 \h </w:instrText>
      </w:r>
      <w:r>
        <w:fldChar w:fldCharType="separate"/>
      </w:r>
      <w:r>
        <w:t>145</w:t>
      </w:r>
      <w:r>
        <w:fldChar w:fldCharType="end"/>
      </w:r>
      <w:r>
        <w:rPr>
          <w:rFonts w:hint="eastAsia"/>
        </w:rPr>
        <w:fldChar w:fldCharType="end"/>
      </w:r>
    </w:p>
    <w:p w14:paraId="41BE4DB5">
      <w:pPr>
        <w:pStyle w:val="18"/>
        <w:tabs>
          <w:tab w:val="right" w:leader="dot" w:pos="8845"/>
        </w:tabs>
      </w:pPr>
      <w:r>
        <w:rPr>
          <w:rFonts w:hint="eastAsia"/>
        </w:rPr>
        <w:fldChar w:fldCharType="begin"/>
      </w:r>
      <w:r>
        <w:rPr>
          <w:rFonts w:hint="eastAsia"/>
        </w:rPr>
        <w:instrText xml:space="preserve"> HYPERLINK \l _Toc30789 </w:instrText>
      </w:r>
      <w:r>
        <w:rPr>
          <w:rFonts w:hint="eastAsia"/>
        </w:rPr>
        <w:fldChar w:fldCharType="separate"/>
      </w:r>
      <w:r>
        <w:rPr>
          <w:rFonts w:hint="eastAsia"/>
          <w:lang w:val="en-US" w:eastAsia="zh-CN"/>
        </w:rPr>
        <w:t>案例31：暗夜秉烛照前路：王汐中职生涯的璀璨</w:t>
      </w:r>
      <w:r>
        <w:tab/>
      </w:r>
      <w:r>
        <w:fldChar w:fldCharType="begin"/>
      </w:r>
      <w:r>
        <w:instrText xml:space="preserve"> PAGEREF _Toc30789 \h </w:instrText>
      </w:r>
      <w:r>
        <w:fldChar w:fldCharType="separate"/>
      </w:r>
      <w:r>
        <w:t>150</w:t>
      </w:r>
      <w:r>
        <w:fldChar w:fldCharType="end"/>
      </w:r>
      <w:r>
        <w:rPr>
          <w:rFonts w:hint="eastAsia"/>
        </w:rPr>
        <w:fldChar w:fldCharType="end"/>
      </w:r>
    </w:p>
    <w:p w14:paraId="0A926DFB">
      <w:pPr>
        <w:pStyle w:val="18"/>
        <w:tabs>
          <w:tab w:val="right" w:leader="dot" w:pos="8845"/>
        </w:tabs>
      </w:pPr>
      <w:r>
        <w:rPr>
          <w:rFonts w:hint="eastAsia"/>
        </w:rPr>
        <w:fldChar w:fldCharType="begin"/>
      </w:r>
      <w:r>
        <w:rPr>
          <w:rFonts w:hint="eastAsia"/>
        </w:rPr>
        <w:instrText xml:space="preserve"> HYPERLINK \l _Toc31805 </w:instrText>
      </w:r>
      <w:r>
        <w:rPr>
          <w:rFonts w:hint="eastAsia"/>
        </w:rPr>
        <w:fldChar w:fldCharType="separate"/>
      </w:r>
      <w:r>
        <w:rPr>
          <w:rFonts w:hint="eastAsia"/>
          <w:lang w:val="en-US" w:eastAsia="zh-CN"/>
        </w:rPr>
        <w:t>案例32：以中医康复技术专业之翼，翱翔于广阔天地间</w:t>
      </w:r>
      <w:r>
        <w:tab/>
      </w:r>
      <w:r>
        <w:fldChar w:fldCharType="begin"/>
      </w:r>
      <w:r>
        <w:instrText xml:space="preserve"> PAGEREF _Toc31805 \h </w:instrText>
      </w:r>
      <w:r>
        <w:fldChar w:fldCharType="separate"/>
      </w:r>
      <w:r>
        <w:t>151</w:t>
      </w:r>
      <w:r>
        <w:fldChar w:fldCharType="end"/>
      </w:r>
      <w:r>
        <w:rPr>
          <w:rFonts w:hint="eastAsia"/>
        </w:rPr>
        <w:fldChar w:fldCharType="end"/>
      </w:r>
    </w:p>
    <w:p w14:paraId="7528B87F">
      <w:pPr>
        <w:pStyle w:val="18"/>
        <w:tabs>
          <w:tab w:val="right" w:leader="dot" w:pos="8845"/>
        </w:tabs>
        <w:rPr>
          <w:rFonts w:hint="eastAsia"/>
          <w:sz w:val="24"/>
          <w:szCs w:val="24"/>
        </w:rPr>
      </w:pPr>
      <w:r>
        <w:rPr>
          <w:rFonts w:hint="eastAsia"/>
        </w:rPr>
        <w:fldChar w:fldCharType="begin"/>
      </w:r>
      <w:r>
        <w:rPr>
          <w:rFonts w:hint="eastAsia"/>
        </w:rPr>
        <w:instrText xml:space="preserve"> HYPERLINK \l _Toc22304 </w:instrText>
      </w:r>
      <w:r>
        <w:rPr>
          <w:rFonts w:hint="eastAsia"/>
        </w:rPr>
        <w:fldChar w:fldCharType="separate"/>
      </w:r>
      <w:r>
        <w:rPr>
          <w:rFonts w:hint="eastAsia"/>
          <w:lang w:val="en-US" w:eastAsia="zh-CN"/>
        </w:rPr>
        <w:t>案例33：精技强能育工匠，多元活动促职涯</w:t>
      </w:r>
      <w:r>
        <w:tab/>
      </w:r>
      <w:r>
        <w:fldChar w:fldCharType="begin"/>
      </w:r>
      <w:r>
        <w:instrText xml:space="preserve"> PAGEREF _Toc22304 \h </w:instrText>
      </w:r>
      <w:r>
        <w:fldChar w:fldCharType="separate"/>
      </w:r>
      <w:r>
        <w:t>152</w:t>
      </w:r>
      <w:r>
        <w:fldChar w:fldCharType="end"/>
      </w:r>
      <w:r>
        <w:rPr>
          <w:rFonts w:hint="eastAsia"/>
        </w:rPr>
        <w:fldChar w:fldCharType="end"/>
      </w:r>
    </w:p>
    <w:p w14:paraId="0783BAC6">
      <w:pPr>
        <w:rPr>
          <w:rFonts w:hint="eastAsia"/>
          <w:lang w:eastAsia="zh-CN"/>
        </w:rPr>
      </w:pPr>
      <w:r>
        <w:rPr>
          <w:rFonts w:hint="eastAsia"/>
          <w:sz w:val="24"/>
          <w:szCs w:val="24"/>
        </w:rPr>
        <w:br w:type="page"/>
      </w:r>
    </w:p>
    <w:p w14:paraId="6DED213F">
      <w:pPr>
        <w:pStyle w:val="18"/>
        <w:tabs>
          <w:tab w:val="right" w:leader="dot" w:pos="8845"/>
        </w:tabs>
        <w:rPr>
          <w:rFonts w:hint="eastAsia"/>
          <w:lang w:val="en-US" w:eastAsia="zh-CN"/>
        </w:rPr>
      </w:pPr>
      <w:r>
        <w:rPr>
          <w:rFonts w:hint="eastAsia"/>
          <w:sz w:val="24"/>
          <w:szCs w:val="24"/>
        </w:rPr>
        <w:fldChar w:fldCharType="end"/>
      </w:r>
      <w:r>
        <w:rPr>
          <w:rFonts w:hint="eastAsia" w:ascii="黑体" w:hAnsi="黑体" w:eastAsia="黑体" w:cs="黑体"/>
          <w:bCs/>
          <w:color w:val="auto"/>
          <w:kern w:val="2"/>
          <w:sz w:val="36"/>
          <w:szCs w:val="36"/>
          <w:lang w:val="en-US" w:eastAsia="zh-CN" w:bidi="ar-SA"/>
        </w:rPr>
        <w:t>附表</w:t>
      </w:r>
      <w:r>
        <w:rPr>
          <w:rFonts w:hint="eastAsia"/>
        </w:rPr>
        <w:fldChar w:fldCharType="begin"/>
      </w:r>
      <w:r>
        <w:rPr>
          <w:rFonts w:hint="eastAsia"/>
        </w:rPr>
        <w:instrText xml:space="preserve">TOC \t "附表" \h \c</w:instrText>
      </w:r>
      <w:r>
        <w:rPr>
          <w:rFonts w:hint="eastAsia"/>
        </w:rPr>
        <w:fldChar w:fldCharType="separate"/>
      </w:r>
    </w:p>
    <w:p w14:paraId="36AB3FAD">
      <w:pPr>
        <w:pStyle w:val="18"/>
        <w:tabs>
          <w:tab w:val="right" w:leader="dot" w:pos="8845"/>
        </w:tabs>
        <w:rPr>
          <w:rFonts w:hint="eastAsia"/>
        </w:rPr>
      </w:pPr>
      <w:r>
        <w:rPr>
          <w:rFonts w:hint="eastAsia"/>
        </w:rPr>
        <w:fldChar w:fldCharType="begin"/>
      </w:r>
      <w:r>
        <w:rPr>
          <w:rFonts w:hint="eastAsia"/>
        </w:rPr>
        <w:instrText xml:space="preserve"> HYPERLINK \l _Toc7996 </w:instrText>
      </w:r>
      <w:r>
        <w:rPr>
          <w:rFonts w:hint="eastAsia"/>
        </w:rPr>
        <w:fldChar w:fldCharType="separate"/>
      </w:r>
      <w:r>
        <w:rPr>
          <w:rFonts w:hint="eastAsia"/>
        </w:rPr>
        <w:t>表1 人才培养质量计分卡</w:t>
      </w:r>
      <w:r>
        <w:rPr>
          <w:rFonts w:hint="eastAsia"/>
        </w:rPr>
        <w:tab/>
      </w:r>
      <w:r>
        <w:rPr>
          <w:rFonts w:hint="eastAsia"/>
        </w:rPr>
        <w:fldChar w:fldCharType="begin"/>
      </w:r>
      <w:r>
        <w:rPr>
          <w:rFonts w:hint="eastAsia"/>
        </w:rPr>
        <w:instrText xml:space="preserve"> PAGEREF _Toc7996 \h </w:instrText>
      </w:r>
      <w:r>
        <w:rPr>
          <w:rFonts w:hint="eastAsia"/>
        </w:rPr>
        <w:fldChar w:fldCharType="separate"/>
      </w:r>
      <w:r>
        <w:rPr>
          <w:rFonts w:hint="eastAsia"/>
        </w:rPr>
        <w:t>154</w:t>
      </w:r>
      <w:r>
        <w:rPr>
          <w:rFonts w:hint="eastAsia"/>
        </w:rPr>
        <w:fldChar w:fldCharType="end"/>
      </w:r>
      <w:r>
        <w:rPr>
          <w:rFonts w:hint="eastAsia"/>
        </w:rPr>
        <w:fldChar w:fldCharType="end"/>
      </w:r>
    </w:p>
    <w:p w14:paraId="512226CD">
      <w:pPr>
        <w:pStyle w:val="18"/>
        <w:tabs>
          <w:tab w:val="right" w:leader="dot" w:pos="8845"/>
        </w:tabs>
        <w:rPr>
          <w:rFonts w:hint="eastAsia"/>
        </w:rPr>
      </w:pPr>
      <w:r>
        <w:rPr>
          <w:rFonts w:hint="eastAsia"/>
        </w:rPr>
        <w:fldChar w:fldCharType="begin"/>
      </w:r>
      <w:r>
        <w:rPr>
          <w:rFonts w:hint="eastAsia"/>
        </w:rPr>
        <w:instrText xml:space="preserve"> HYPERLINK \l _Toc30298 </w:instrText>
      </w:r>
      <w:r>
        <w:rPr>
          <w:rFonts w:hint="eastAsia"/>
        </w:rPr>
        <w:fldChar w:fldCharType="separate"/>
      </w:r>
      <w:r>
        <w:rPr>
          <w:rFonts w:hint="eastAsia"/>
        </w:rPr>
        <w:t>表2</w:t>
      </w:r>
      <w:r>
        <w:rPr>
          <w:rFonts w:hint="eastAsia"/>
          <w:lang w:val="en-US" w:eastAsia="zh-CN"/>
        </w:rPr>
        <w:t xml:space="preserve"> </w:t>
      </w:r>
      <w:r>
        <w:rPr>
          <w:rFonts w:hint="eastAsia"/>
        </w:rPr>
        <w:t>满意度调查表</w:t>
      </w:r>
      <w:r>
        <w:rPr>
          <w:rFonts w:hint="eastAsia"/>
        </w:rPr>
        <w:tab/>
      </w:r>
      <w:r>
        <w:rPr>
          <w:rFonts w:hint="eastAsia"/>
        </w:rPr>
        <w:fldChar w:fldCharType="begin"/>
      </w:r>
      <w:r>
        <w:rPr>
          <w:rFonts w:hint="eastAsia"/>
        </w:rPr>
        <w:instrText xml:space="preserve"> PAGEREF _Toc30298 \h </w:instrText>
      </w:r>
      <w:r>
        <w:rPr>
          <w:rFonts w:hint="eastAsia"/>
        </w:rPr>
        <w:fldChar w:fldCharType="separate"/>
      </w:r>
      <w:r>
        <w:rPr>
          <w:rFonts w:hint="eastAsia"/>
        </w:rPr>
        <w:t>155</w:t>
      </w:r>
      <w:r>
        <w:rPr>
          <w:rFonts w:hint="eastAsia"/>
        </w:rPr>
        <w:fldChar w:fldCharType="end"/>
      </w:r>
      <w:r>
        <w:rPr>
          <w:rFonts w:hint="eastAsia"/>
        </w:rPr>
        <w:fldChar w:fldCharType="end"/>
      </w:r>
    </w:p>
    <w:p w14:paraId="5506DD1A">
      <w:pPr>
        <w:pStyle w:val="18"/>
        <w:tabs>
          <w:tab w:val="right" w:leader="dot" w:pos="8845"/>
        </w:tabs>
        <w:rPr>
          <w:rFonts w:hint="eastAsia"/>
        </w:rPr>
      </w:pPr>
      <w:r>
        <w:rPr>
          <w:rFonts w:hint="eastAsia"/>
        </w:rPr>
        <w:fldChar w:fldCharType="begin"/>
      </w:r>
      <w:r>
        <w:rPr>
          <w:rFonts w:hint="eastAsia"/>
        </w:rPr>
        <w:instrText xml:space="preserve"> HYPERLINK \l _Toc14527 </w:instrText>
      </w:r>
      <w:r>
        <w:rPr>
          <w:rFonts w:hint="eastAsia"/>
        </w:rPr>
        <w:fldChar w:fldCharType="separate"/>
      </w:r>
      <w:r>
        <w:rPr>
          <w:rFonts w:hint="eastAsia"/>
        </w:rPr>
        <w:t>表3 教学资源表</w:t>
      </w:r>
      <w:r>
        <w:rPr>
          <w:rFonts w:hint="eastAsia"/>
        </w:rPr>
        <w:tab/>
      </w:r>
      <w:r>
        <w:rPr>
          <w:rFonts w:hint="eastAsia"/>
        </w:rPr>
        <w:fldChar w:fldCharType="begin"/>
      </w:r>
      <w:r>
        <w:rPr>
          <w:rFonts w:hint="eastAsia"/>
        </w:rPr>
        <w:instrText xml:space="preserve"> PAGEREF _Toc14527 \h </w:instrText>
      </w:r>
      <w:r>
        <w:rPr>
          <w:rFonts w:hint="eastAsia"/>
        </w:rPr>
        <w:fldChar w:fldCharType="separate"/>
      </w:r>
      <w:r>
        <w:rPr>
          <w:rFonts w:hint="eastAsia"/>
        </w:rPr>
        <w:t>156</w:t>
      </w:r>
      <w:r>
        <w:rPr>
          <w:rFonts w:hint="eastAsia"/>
        </w:rPr>
        <w:fldChar w:fldCharType="end"/>
      </w:r>
      <w:r>
        <w:rPr>
          <w:rFonts w:hint="eastAsia"/>
        </w:rPr>
        <w:fldChar w:fldCharType="end"/>
      </w:r>
    </w:p>
    <w:p w14:paraId="5A9C7B9A">
      <w:pPr>
        <w:pStyle w:val="18"/>
        <w:tabs>
          <w:tab w:val="right" w:leader="dot" w:pos="8845"/>
        </w:tabs>
        <w:rPr>
          <w:rFonts w:hint="eastAsia"/>
        </w:rPr>
      </w:pPr>
      <w:r>
        <w:rPr>
          <w:rFonts w:hint="eastAsia"/>
        </w:rPr>
        <w:fldChar w:fldCharType="begin"/>
      </w:r>
      <w:r>
        <w:rPr>
          <w:rFonts w:hint="eastAsia"/>
        </w:rPr>
        <w:instrText xml:space="preserve"> HYPERLINK \l _Toc24770 </w:instrText>
      </w:r>
      <w:r>
        <w:rPr>
          <w:rFonts w:hint="eastAsia"/>
        </w:rPr>
        <w:fldChar w:fldCharType="separate"/>
      </w:r>
      <w:r>
        <w:rPr>
          <w:rFonts w:hint="eastAsia"/>
        </w:rPr>
        <w:t>表4 服务贡献表</w:t>
      </w:r>
      <w:r>
        <w:rPr>
          <w:rFonts w:hint="eastAsia"/>
        </w:rPr>
        <w:tab/>
      </w:r>
      <w:r>
        <w:rPr>
          <w:rFonts w:hint="eastAsia"/>
        </w:rPr>
        <w:fldChar w:fldCharType="begin"/>
      </w:r>
      <w:r>
        <w:rPr>
          <w:rFonts w:hint="eastAsia"/>
        </w:rPr>
        <w:instrText xml:space="preserve"> PAGEREF _Toc24770 \h </w:instrText>
      </w:r>
      <w:r>
        <w:rPr>
          <w:rFonts w:hint="eastAsia"/>
        </w:rPr>
        <w:fldChar w:fldCharType="separate"/>
      </w:r>
      <w:r>
        <w:rPr>
          <w:rFonts w:hint="eastAsia"/>
        </w:rPr>
        <w:t>159</w:t>
      </w:r>
      <w:r>
        <w:rPr>
          <w:rFonts w:hint="eastAsia"/>
        </w:rPr>
        <w:fldChar w:fldCharType="end"/>
      </w:r>
      <w:r>
        <w:rPr>
          <w:rFonts w:hint="eastAsia"/>
        </w:rPr>
        <w:fldChar w:fldCharType="end"/>
      </w:r>
    </w:p>
    <w:p w14:paraId="607E2A58">
      <w:pPr>
        <w:pStyle w:val="18"/>
        <w:tabs>
          <w:tab w:val="right" w:leader="dot" w:pos="8845"/>
        </w:tabs>
        <w:rPr>
          <w:rFonts w:hint="eastAsia"/>
        </w:rPr>
      </w:pPr>
      <w:r>
        <w:rPr>
          <w:rFonts w:hint="eastAsia"/>
        </w:rPr>
        <w:fldChar w:fldCharType="begin"/>
      </w:r>
      <w:r>
        <w:rPr>
          <w:rFonts w:hint="eastAsia"/>
        </w:rPr>
        <w:instrText xml:space="preserve"> HYPERLINK \l _Toc1999 </w:instrText>
      </w:r>
      <w:r>
        <w:rPr>
          <w:rFonts w:hint="eastAsia"/>
        </w:rPr>
        <w:fldChar w:fldCharType="separate"/>
      </w:r>
      <w:r>
        <w:rPr>
          <w:rFonts w:hint="eastAsia"/>
        </w:rPr>
        <w:t>表5 国际影响表</w:t>
      </w:r>
      <w:r>
        <w:rPr>
          <w:rFonts w:hint="eastAsia"/>
        </w:rPr>
        <w:tab/>
      </w:r>
      <w:r>
        <w:rPr>
          <w:rFonts w:hint="eastAsia"/>
        </w:rPr>
        <w:fldChar w:fldCharType="begin"/>
      </w:r>
      <w:r>
        <w:rPr>
          <w:rFonts w:hint="eastAsia"/>
        </w:rPr>
        <w:instrText xml:space="preserve"> PAGEREF _Toc1999 \h </w:instrText>
      </w:r>
      <w:r>
        <w:rPr>
          <w:rFonts w:hint="eastAsia"/>
        </w:rPr>
        <w:fldChar w:fldCharType="separate"/>
      </w:r>
      <w:r>
        <w:rPr>
          <w:rFonts w:hint="eastAsia"/>
        </w:rPr>
        <w:t>160</w:t>
      </w:r>
      <w:r>
        <w:rPr>
          <w:rFonts w:hint="eastAsia"/>
        </w:rPr>
        <w:fldChar w:fldCharType="end"/>
      </w:r>
      <w:r>
        <w:rPr>
          <w:rFonts w:hint="eastAsia"/>
        </w:rPr>
        <w:fldChar w:fldCharType="end"/>
      </w:r>
    </w:p>
    <w:p w14:paraId="5C10C181">
      <w:pPr>
        <w:pStyle w:val="18"/>
        <w:tabs>
          <w:tab w:val="right" w:leader="dot" w:pos="8845"/>
        </w:tabs>
        <w:rPr>
          <w:rFonts w:hint="eastAsia"/>
        </w:rPr>
      </w:pPr>
      <w:r>
        <w:rPr>
          <w:rFonts w:hint="eastAsia"/>
        </w:rPr>
        <w:fldChar w:fldCharType="begin"/>
      </w:r>
      <w:r>
        <w:rPr>
          <w:rFonts w:hint="eastAsia"/>
        </w:rPr>
        <w:instrText xml:space="preserve"> HYPERLINK \l _Toc12119 </w:instrText>
      </w:r>
      <w:r>
        <w:rPr>
          <w:rFonts w:hint="eastAsia"/>
        </w:rPr>
        <w:fldChar w:fldCharType="separate"/>
      </w:r>
      <w:r>
        <w:rPr>
          <w:rFonts w:hint="eastAsia"/>
        </w:rPr>
        <w:t>表6 落实政策表</w:t>
      </w:r>
      <w:r>
        <w:rPr>
          <w:rFonts w:hint="eastAsia"/>
        </w:rPr>
        <w:tab/>
      </w:r>
      <w:r>
        <w:rPr>
          <w:rFonts w:hint="eastAsia"/>
        </w:rPr>
        <w:fldChar w:fldCharType="begin"/>
      </w:r>
      <w:r>
        <w:rPr>
          <w:rFonts w:hint="eastAsia"/>
        </w:rPr>
        <w:instrText xml:space="preserve"> PAGEREF _Toc12119 \h </w:instrText>
      </w:r>
      <w:r>
        <w:rPr>
          <w:rFonts w:hint="eastAsia"/>
        </w:rPr>
        <w:fldChar w:fldCharType="separate"/>
      </w:r>
      <w:r>
        <w:rPr>
          <w:rFonts w:hint="eastAsia"/>
        </w:rPr>
        <w:t>161</w:t>
      </w:r>
      <w:r>
        <w:rPr>
          <w:rFonts w:hint="eastAsia"/>
        </w:rPr>
        <w:fldChar w:fldCharType="end"/>
      </w:r>
      <w:r>
        <w:rPr>
          <w:rFonts w:hint="eastAsia"/>
        </w:rPr>
        <w:fldChar w:fldCharType="end"/>
      </w:r>
    </w:p>
    <w:p w14:paraId="21315288">
      <w:pPr>
        <w:pStyle w:val="18"/>
        <w:tabs>
          <w:tab w:val="right" w:leader="dot" w:pos="8845"/>
        </w:tabs>
        <w:rPr>
          <w:rFonts w:hint="eastAsia"/>
        </w:rPr>
      </w:pPr>
      <w:r>
        <w:rPr>
          <w:rFonts w:hint="eastAsia"/>
        </w:rPr>
        <w:fldChar w:fldCharType="end"/>
      </w:r>
    </w:p>
    <w:p w14:paraId="0C25557B">
      <w:pPr>
        <w:pStyle w:val="18"/>
        <w:bidi w:val="0"/>
        <w:rPr>
          <w:rFonts w:hint="eastAsia"/>
        </w:rPr>
      </w:pPr>
      <w:bookmarkStart w:id="23" w:name="_Toc27896"/>
      <w:bookmarkStart w:id="24" w:name="_Toc6535"/>
      <w:r>
        <w:rPr>
          <w:rFonts w:hint="eastAsia"/>
        </w:rPr>
        <w:fldChar w:fldCharType="begin"/>
      </w:r>
      <w:r>
        <w:rPr>
          <w:rFonts w:hint="eastAsia"/>
        </w:rPr>
        <w:instrText xml:space="preserve">TOC \h \c "案例"</w:instrText>
      </w:r>
      <w:r>
        <w:rPr>
          <w:rFonts w:hint="eastAsia"/>
        </w:rPr>
        <w:fldChar w:fldCharType="separate"/>
      </w:r>
      <w:bookmarkEnd w:id="23"/>
      <w:bookmarkEnd w:id="24"/>
    </w:p>
    <w:p w14:paraId="79712C82">
      <w:pPr>
        <w:pStyle w:val="18"/>
        <w:bidi w:val="0"/>
        <w:rPr>
          <w:rFonts w:hint="eastAsia"/>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fldChar w:fldCharType="end"/>
      </w:r>
    </w:p>
    <w:p w14:paraId="4922D0C4">
      <w:pPr>
        <w:pStyle w:val="2"/>
        <w:keepNext w:val="0"/>
        <w:keepLines w:val="0"/>
        <w:pageBreakBefore w:val="0"/>
        <w:kinsoku/>
        <w:wordWrap/>
        <w:overflowPunct/>
        <w:topLinePunct w:val="0"/>
        <w:autoSpaceDE/>
        <w:autoSpaceDN/>
        <w:bidi w:val="0"/>
        <w:spacing w:line="600" w:lineRule="exact"/>
        <w:textAlignment w:val="auto"/>
      </w:pPr>
      <w:bookmarkStart w:id="25" w:name="_Toc8667"/>
      <w:bookmarkStart w:id="26" w:name="_Toc14800"/>
      <w:bookmarkStart w:id="27" w:name="_Toc1816"/>
      <w:bookmarkStart w:id="28" w:name="_Toc30930"/>
      <w:bookmarkStart w:id="29" w:name="_Toc29873"/>
      <w:bookmarkStart w:id="30" w:name="_Toc11738"/>
      <w:r>
        <w:rPr>
          <w:rFonts w:hint="eastAsia"/>
        </w:rPr>
        <w:t>1.基本情况</w:t>
      </w:r>
      <w:bookmarkEnd w:id="19"/>
      <w:bookmarkEnd w:id="20"/>
      <w:bookmarkEnd w:id="21"/>
      <w:bookmarkEnd w:id="25"/>
      <w:bookmarkEnd w:id="26"/>
      <w:bookmarkEnd w:id="27"/>
      <w:bookmarkEnd w:id="28"/>
      <w:bookmarkEnd w:id="29"/>
      <w:bookmarkEnd w:id="30"/>
    </w:p>
    <w:p w14:paraId="49A42AA8">
      <w:pPr>
        <w:pStyle w:val="3"/>
        <w:keepNext w:val="0"/>
        <w:keepLines w:val="0"/>
        <w:pageBreakBefore w:val="0"/>
        <w:kinsoku/>
        <w:wordWrap/>
        <w:overflowPunct/>
        <w:topLinePunct w:val="0"/>
        <w:autoSpaceDE/>
        <w:autoSpaceDN/>
        <w:bidi w:val="0"/>
        <w:spacing w:line="600" w:lineRule="exact"/>
        <w:textAlignment w:val="auto"/>
      </w:pPr>
      <w:bookmarkStart w:id="31" w:name="_Toc22298"/>
      <w:bookmarkStart w:id="32" w:name="_Toc26197"/>
      <w:bookmarkStart w:id="33" w:name="_Toc28675"/>
      <w:bookmarkStart w:id="34" w:name="_Toc1906"/>
      <w:bookmarkStart w:id="35" w:name="_Toc26848"/>
      <w:bookmarkStart w:id="36" w:name="_Toc4311"/>
      <w:bookmarkStart w:id="37" w:name="_Toc22900"/>
      <w:bookmarkStart w:id="38" w:name="_Toc14330"/>
      <w:r>
        <w:rPr>
          <w:rFonts w:hint="eastAsia"/>
        </w:rPr>
        <w:t>1.1区域学校概况</w:t>
      </w:r>
      <w:bookmarkEnd w:id="31"/>
      <w:bookmarkEnd w:id="32"/>
      <w:bookmarkEnd w:id="33"/>
      <w:bookmarkEnd w:id="34"/>
      <w:bookmarkEnd w:id="35"/>
      <w:bookmarkEnd w:id="36"/>
      <w:bookmarkEnd w:id="37"/>
      <w:bookmarkEnd w:id="38"/>
    </w:p>
    <w:p w14:paraId="3E0EAE4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南岸区共有中职学</w:t>
      </w:r>
      <w:r>
        <w:rPr>
          <w:rFonts w:hint="eastAsia" w:ascii="Times New Roman" w:hAnsi="Times New Roman" w:eastAsia="方正仿宋_GBK" w:cs="Times New Roman"/>
          <w:color w:val="auto"/>
          <w:sz w:val="32"/>
          <w:szCs w:val="32"/>
          <w:lang w:val="en-US" w:eastAsia="zh-CN"/>
        </w:rPr>
        <w:t>校2所，学校附设中职班1个</w:t>
      </w:r>
      <w:r>
        <w:rPr>
          <w:rFonts w:hint="eastAsia" w:ascii="Times New Roman" w:hAnsi="Times New Roman" w:eastAsia="方正仿宋_GBK" w:cs="Times New Roman"/>
          <w:color w:val="auto"/>
          <w:sz w:val="32"/>
          <w:szCs w:val="32"/>
        </w:rPr>
        <w:t>，包括重庆市龙门浩职业中学校、重庆市机电工程高级技工学校</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重庆市特殊教育中心的附设中职班。其中重庆市龙门浩职业中学校为</w:t>
      </w:r>
      <w:r>
        <w:rPr>
          <w:rFonts w:hint="eastAsia" w:ascii="Times New Roman" w:hAnsi="Times New Roman" w:eastAsia="方正仿宋_GBK" w:cs="Times New Roman"/>
          <w:color w:val="auto"/>
          <w:sz w:val="32"/>
          <w:szCs w:val="32"/>
          <w:lang w:val="en-US" w:eastAsia="zh-CN"/>
        </w:rPr>
        <w:t>南岸区教委委属公办中职学校，是国家中等职业教育改革发展示范学校</w:t>
      </w:r>
      <w:r>
        <w:rPr>
          <w:rFonts w:hint="eastAsia" w:ascii="Times New Roman" w:hAnsi="Times New Roman" w:eastAsia="方正仿宋_GBK" w:cs="Times New Roman"/>
          <w:color w:val="auto"/>
          <w:sz w:val="32"/>
          <w:szCs w:val="32"/>
        </w:rPr>
        <w:t>，重庆市机电工程高级技工学校为</w:t>
      </w:r>
      <w:r>
        <w:rPr>
          <w:rFonts w:hint="eastAsia" w:ascii="Times New Roman" w:hAnsi="Times New Roman" w:eastAsia="方正仿宋_GBK" w:cs="Times New Roman"/>
          <w:color w:val="auto"/>
          <w:sz w:val="32"/>
          <w:szCs w:val="32"/>
          <w:lang w:val="en-US" w:eastAsia="zh-CN"/>
        </w:rPr>
        <w:t>民办技工学校，是重庆市重点技工</w:t>
      </w:r>
      <w:r>
        <w:rPr>
          <w:rFonts w:hint="eastAsia" w:ascii="Times New Roman" w:hAnsi="Times New Roman" w:eastAsia="方正仿宋_GBK" w:cs="Times New Roman"/>
          <w:color w:val="auto"/>
          <w:sz w:val="32"/>
          <w:szCs w:val="32"/>
        </w:rPr>
        <w:t>学校。</w:t>
      </w:r>
    </w:p>
    <w:p w14:paraId="353595F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bookmarkStart w:id="39" w:name="_Toc2039"/>
      <w:r>
        <w:rPr>
          <w:rFonts w:hint="eastAsia" w:ascii="方正仿宋_GBK" w:hAnsi="Times New Roman" w:eastAsia="方正仿宋_GBK"/>
          <w:color w:val="auto"/>
          <w:sz w:val="32"/>
          <w:szCs w:val="32"/>
        </w:rPr>
        <w:t>重庆市龙门浩职业中学校始建于</w:t>
      </w:r>
      <w:r>
        <w:rPr>
          <w:rFonts w:hint="eastAsia" w:ascii="Times New Roman" w:hAnsi="Times New Roman" w:eastAsia="方正仿宋_GBK" w:cs="Times New Roman"/>
          <w:color w:val="auto"/>
          <w:sz w:val="32"/>
          <w:szCs w:val="32"/>
          <w:lang w:val="en-US" w:eastAsia="zh-CN"/>
        </w:rPr>
        <w:t>1965年，1982年</w:t>
      </w:r>
      <w:r>
        <w:rPr>
          <w:rFonts w:hint="eastAsia" w:ascii="方正仿宋_GBK" w:hAnsi="Times New Roman" w:eastAsia="方正仿宋_GBK"/>
          <w:color w:val="auto"/>
          <w:sz w:val="32"/>
          <w:szCs w:val="32"/>
        </w:rPr>
        <w:t>起开办中等职</w:t>
      </w:r>
      <w:r>
        <w:rPr>
          <w:rFonts w:ascii="方正仿宋_GBK" w:hAnsi="Times New Roman" w:eastAsia="方正仿宋_GBK"/>
          <w:color w:val="auto"/>
          <w:sz w:val="32"/>
          <w:szCs w:val="32"/>
        </w:rPr>
        <w:t>业教育</w:t>
      </w:r>
      <w:r>
        <w:rPr>
          <w:rFonts w:hint="eastAsia" w:ascii="方正仿宋_GBK" w:hAnsi="Times New Roman" w:eastAsia="方正仿宋_GBK"/>
          <w:color w:val="auto"/>
          <w:sz w:val="32"/>
          <w:szCs w:val="32"/>
        </w:rPr>
        <w:t>。</w:t>
      </w:r>
      <w:r>
        <w:rPr>
          <w:rFonts w:ascii="方正仿宋_GBK" w:hAnsi="Times New Roman" w:eastAsia="方正仿宋_GBK"/>
          <w:color w:val="auto"/>
          <w:sz w:val="32"/>
          <w:szCs w:val="32"/>
        </w:rPr>
        <w:t>学校位于重庆市南岸区江南新城，</w:t>
      </w:r>
      <w:r>
        <w:rPr>
          <w:rFonts w:hint="eastAsia" w:ascii="方正仿宋_GBK" w:hAnsi="Times New Roman" w:eastAsia="方正仿宋_GBK"/>
          <w:color w:val="auto"/>
          <w:sz w:val="32"/>
          <w:szCs w:val="32"/>
        </w:rPr>
        <w:t>是由重庆市南岸区人民政府举办，重庆市南岸区教育委员会主管，经重庆市南岸区事业单位登记管理局登记批准，具有独立法人资格的办学机构，独立承担民事责任。学校秉承“</w:t>
      </w:r>
      <w:r>
        <w:rPr>
          <w:rFonts w:ascii="方正仿宋_GBK" w:hAnsi="Times New Roman" w:eastAsia="方正仿宋_GBK"/>
          <w:color w:val="auto"/>
          <w:sz w:val="32"/>
          <w:szCs w:val="32"/>
        </w:rPr>
        <w:t>厉行正道</w:t>
      </w:r>
      <w:r>
        <w:rPr>
          <w:rFonts w:hint="eastAsia" w:ascii="方正仿宋_GBK" w:hAnsi="Times New Roman" w:eastAsia="方正仿宋_GBK"/>
          <w:color w:val="auto"/>
          <w:sz w:val="32"/>
          <w:szCs w:val="32"/>
        </w:rPr>
        <w:t>，</w:t>
      </w:r>
      <w:r>
        <w:rPr>
          <w:rFonts w:ascii="方正仿宋_GBK" w:hAnsi="Times New Roman" w:eastAsia="方正仿宋_GBK"/>
          <w:color w:val="auto"/>
          <w:sz w:val="32"/>
          <w:szCs w:val="32"/>
        </w:rPr>
        <w:t>精业报国</w:t>
      </w:r>
      <w:r>
        <w:rPr>
          <w:rFonts w:hint="eastAsia" w:ascii="方正仿宋_GBK" w:hAnsi="Times New Roman" w:eastAsia="方正仿宋_GBK"/>
          <w:color w:val="auto"/>
          <w:sz w:val="32"/>
          <w:szCs w:val="32"/>
        </w:rPr>
        <w:t>”的</w:t>
      </w:r>
      <w:r>
        <w:rPr>
          <w:rFonts w:ascii="方正仿宋_GBK" w:hAnsi="Times New Roman" w:eastAsia="方正仿宋_GBK"/>
          <w:color w:val="auto"/>
          <w:sz w:val="32"/>
          <w:szCs w:val="32"/>
        </w:rPr>
        <w:t>校训</w:t>
      </w:r>
      <w:r>
        <w:rPr>
          <w:rFonts w:hint="eastAsia" w:ascii="方正仿宋_GBK" w:hAnsi="Times New Roman" w:eastAsia="方正仿宋_GBK"/>
          <w:color w:val="auto"/>
          <w:sz w:val="32"/>
          <w:szCs w:val="32"/>
        </w:rPr>
        <w:t>，“敢为人先，精益求精”的校风，“</w:t>
      </w:r>
      <w:r>
        <w:rPr>
          <w:rFonts w:ascii="方正仿宋_GBK" w:hAnsi="Times New Roman" w:eastAsia="方正仿宋_GBK"/>
          <w:color w:val="auto"/>
          <w:sz w:val="32"/>
          <w:szCs w:val="32"/>
        </w:rPr>
        <w:t>做真人</w:t>
      </w:r>
      <w:r>
        <w:rPr>
          <w:rFonts w:hint="eastAsia" w:ascii="方正仿宋_GBK" w:hAnsi="Times New Roman" w:eastAsia="方正仿宋_GBK"/>
          <w:color w:val="auto"/>
          <w:sz w:val="32"/>
          <w:szCs w:val="32"/>
        </w:rPr>
        <w:t>，</w:t>
      </w:r>
      <w:r>
        <w:rPr>
          <w:rFonts w:ascii="方正仿宋_GBK" w:hAnsi="Times New Roman" w:eastAsia="方正仿宋_GBK"/>
          <w:color w:val="auto"/>
          <w:sz w:val="32"/>
          <w:szCs w:val="32"/>
        </w:rPr>
        <w:t>育精品</w:t>
      </w:r>
      <w:r>
        <w:rPr>
          <w:rFonts w:hint="eastAsia" w:ascii="方正仿宋_GBK" w:hAnsi="Times New Roman" w:eastAsia="方正仿宋_GBK"/>
          <w:color w:val="auto"/>
          <w:sz w:val="32"/>
          <w:szCs w:val="32"/>
        </w:rPr>
        <w:t>”的</w:t>
      </w:r>
      <w:r>
        <w:rPr>
          <w:rFonts w:ascii="方正仿宋_GBK" w:hAnsi="Times New Roman" w:eastAsia="方正仿宋_GBK"/>
          <w:color w:val="auto"/>
          <w:sz w:val="32"/>
          <w:szCs w:val="32"/>
        </w:rPr>
        <w:t>教风</w:t>
      </w:r>
      <w:r>
        <w:rPr>
          <w:rFonts w:hint="eastAsia" w:ascii="方正仿宋_GBK" w:hAnsi="Times New Roman" w:eastAsia="方正仿宋_GBK"/>
          <w:color w:val="auto"/>
          <w:sz w:val="32"/>
          <w:szCs w:val="32"/>
        </w:rPr>
        <w:t>，“</w:t>
      </w:r>
      <w:r>
        <w:rPr>
          <w:rFonts w:ascii="方正仿宋_GBK" w:hAnsi="Times New Roman" w:eastAsia="方正仿宋_GBK"/>
          <w:color w:val="auto"/>
          <w:sz w:val="32"/>
          <w:szCs w:val="32"/>
        </w:rPr>
        <w:t>想</w:t>
      </w:r>
      <w:r>
        <w:rPr>
          <w:rFonts w:hint="eastAsia" w:ascii="方正仿宋_GBK" w:hAnsi="Times New Roman" w:eastAsia="方正仿宋_GBK"/>
          <w:color w:val="auto"/>
          <w:sz w:val="32"/>
          <w:szCs w:val="32"/>
        </w:rPr>
        <w:t>得</w:t>
      </w:r>
      <w:r>
        <w:rPr>
          <w:rFonts w:ascii="方正仿宋_GBK" w:hAnsi="Times New Roman" w:eastAsia="方正仿宋_GBK"/>
          <w:color w:val="auto"/>
          <w:sz w:val="32"/>
          <w:szCs w:val="32"/>
        </w:rPr>
        <w:t>精细 干</w:t>
      </w:r>
      <w:r>
        <w:rPr>
          <w:rFonts w:hint="eastAsia" w:ascii="方正仿宋_GBK" w:hAnsi="Times New Roman" w:eastAsia="方正仿宋_GBK"/>
          <w:color w:val="auto"/>
          <w:sz w:val="32"/>
          <w:szCs w:val="32"/>
        </w:rPr>
        <w:t>得</w:t>
      </w:r>
      <w:r>
        <w:rPr>
          <w:rFonts w:ascii="方正仿宋_GBK" w:hAnsi="Times New Roman" w:eastAsia="方正仿宋_GBK"/>
          <w:color w:val="auto"/>
          <w:sz w:val="32"/>
          <w:szCs w:val="32"/>
        </w:rPr>
        <w:t>精彩</w:t>
      </w:r>
      <w:r>
        <w:rPr>
          <w:rFonts w:hint="eastAsia" w:ascii="方正仿宋_GBK" w:hAnsi="Times New Roman" w:eastAsia="方正仿宋_GBK"/>
          <w:color w:val="auto"/>
          <w:sz w:val="32"/>
          <w:szCs w:val="32"/>
        </w:rPr>
        <w:t>”的</w:t>
      </w:r>
      <w:r>
        <w:rPr>
          <w:rFonts w:ascii="方正仿宋_GBK" w:hAnsi="Times New Roman" w:eastAsia="方正仿宋_GBK"/>
          <w:color w:val="auto"/>
          <w:sz w:val="32"/>
          <w:szCs w:val="32"/>
        </w:rPr>
        <w:t>学风</w:t>
      </w:r>
      <w:r>
        <w:rPr>
          <w:rFonts w:hint="eastAsia" w:ascii="方正仿宋_GBK" w:hAnsi="Times New Roman" w:eastAsia="方正仿宋_GBK"/>
          <w:color w:val="auto"/>
          <w:sz w:val="32"/>
          <w:szCs w:val="32"/>
        </w:rPr>
        <w:t>，遵循“正人 达业 行天下”的办学理念，打造“全程生涯教育”的办学特色。学校依据《中华人民共和国教育法》《中华人民共和国职业教育法》等法律法规，并结合学校实际制定章程，实行党组织领导的</w:t>
      </w:r>
      <w:r>
        <w:rPr>
          <w:rFonts w:ascii="方正仿宋_GBK" w:hAnsi="Times New Roman" w:eastAsia="方正仿宋_GBK"/>
          <w:color w:val="auto"/>
          <w:sz w:val="32"/>
          <w:szCs w:val="32"/>
        </w:rPr>
        <w:t>校长负责制</w:t>
      </w:r>
      <w:r>
        <w:rPr>
          <w:rFonts w:hint="eastAsia" w:ascii="方正仿宋_GBK" w:hAnsi="Times New Roman" w:eastAsia="方正仿宋_GBK"/>
          <w:color w:val="auto"/>
          <w:sz w:val="32"/>
          <w:szCs w:val="32"/>
        </w:rPr>
        <w:t>，构建工学一体化的发展模式，明确了培养行业青睐人才的质量目标，全力打造中国西部信息技术人才教育高地，为重庆市产业结构调整和升级提供强大的人力支撑。</w:t>
      </w:r>
    </w:p>
    <w:p w14:paraId="196274C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重庆市机电工程高级技工学校是经重庆市人力资源和社会保障局批准成立并主管的全日制高级技工学校。学校现有茶园、渝北、永川三个校区。学校办学至今先后获得“全国职工教育培训示范点”“重庆市先进基层党组织”“重庆市技工教育先进单位”“重庆市先进社会组织”等荣誉称号。</w:t>
      </w:r>
    </w:p>
    <w:p w14:paraId="6C8DB8C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重庆市特殊教育中心位于重庆市南岸区植物园路88号，是重庆市唯一一所视障教育学校，2018年开办附设中职班，学校以“挺起胸膛朝前走，以心为眼看世界”为校训，以“为每一个孩子的幸福人生奠基”为办学宗旨，以培养有“阳光心态、扎实知识、健康体魄、多样才艺、较强适应能力的社会人”为育人目标，以“造就‘知类通达，明德敬业’的特教专业老师”为教师发展目标，坚持初心办校，匠心办学，暖心育人，构建起全学段覆盖、全学科融合、全员参与的“一补多发”课程体系，以“义务教育特色化、高中教育品牌化、职业教育优质化”为发展方针，培养视障学生用知识立志，以技能自强；以丰富多彩的活动为载体，培养特长，发展个性，塑造健康阳光的心态。</w:t>
      </w:r>
      <w:bookmarkEnd w:id="39"/>
    </w:p>
    <w:p w14:paraId="124DF3F5">
      <w:pPr>
        <w:pStyle w:val="3"/>
        <w:keepNext w:val="0"/>
        <w:keepLines w:val="0"/>
        <w:pageBreakBefore w:val="0"/>
        <w:kinsoku/>
        <w:wordWrap/>
        <w:overflowPunct/>
        <w:topLinePunct w:val="0"/>
        <w:autoSpaceDE/>
        <w:autoSpaceDN/>
        <w:bidi w:val="0"/>
        <w:spacing w:line="600" w:lineRule="exact"/>
        <w:textAlignment w:val="auto"/>
      </w:pPr>
      <w:bookmarkStart w:id="40" w:name="_Toc9589"/>
      <w:bookmarkStart w:id="41" w:name="_Toc25539"/>
      <w:bookmarkStart w:id="42" w:name="_Toc19129"/>
      <w:bookmarkStart w:id="43" w:name="_Toc21644"/>
      <w:r>
        <w:rPr>
          <w:rFonts w:hint="eastAsia"/>
          <w:lang w:val="en-US" w:eastAsia="zh-CN"/>
        </w:rPr>
        <w:t>1</w:t>
      </w:r>
      <w:r>
        <w:rPr>
          <w:rFonts w:hint="eastAsia"/>
        </w:rPr>
        <w:t>.</w:t>
      </w:r>
      <w:r>
        <w:rPr>
          <w:rFonts w:hint="eastAsia"/>
          <w:lang w:val="en-US" w:eastAsia="zh-CN"/>
        </w:rPr>
        <w:t>2</w:t>
      </w:r>
      <w:r>
        <w:rPr>
          <w:rFonts w:hint="eastAsia"/>
        </w:rPr>
        <w:t>专业建设</w:t>
      </w:r>
      <w:bookmarkEnd w:id="40"/>
      <w:bookmarkEnd w:id="41"/>
      <w:bookmarkEnd w:id="42"/>
    </w:p>
    <w:p w14:paraId="1E8976E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南岸区</w:t>
      </w:r>
      <w:r>
        <w:rPr>
          <w:rFonts w:hint="eastAsia" w:ascii="Times New Roman" w:hAnsi="Times New Roman" w:eastAsia="方正仿宋_GBK" w:cs="Times New Roman"/>
          <w:color w:val="auto"/>
          <w:sz w:val="32"/>
          <w:szCs w:val="32"/>
        </w:rPr>
        <w:t>以科学发展观为指导，构建优质引领、重点发展、特色鲜明的专业体系，推进专业全面、协调和可持续性发展，坚持以人为本，全面、协调可持续的发展观，优化教育结构和教育资源配置，树立创新意识，深化教育结构和教育资源配置，树立创新意识，深化改革，不断在管理体制、管理制度、专业建设、人才培养等方面进行改革创新，注重办学效益，推进专业的全面、协调和可持续发展。加强专业和市场相结合，优化人才培养方案，加大教学内容改革，重视基础课程、主干课程的定位，精选教学内容，教学内容贴近市场人才需求，结合专业发展，加强基础设施和专业基地的建设。</w:t>
      </w:r>
    </w:p>
    <w:p w14:paraId="6645637B">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44" w:name="_Toc23637"/>
      <w:bookmarkStart w:id="45" w:name="_Toc16026"/>
      <w:bookmarkStart w:id="46" w:name="_Toc16352"/>
      <w:r>
        <w:rPr>
          <w:rFonts w:hint="eastAsia"/>
          <w:lang w:val="en-US" w:eastAsia="zh-CN"/>
        </w:rPr>
        <w:t>1.2.1专业设置情况</w:t>
      </w:r>
      <w:bookmarkEnd w:id="44"/>
      <w:bookmarkEnd w:id="45"/>
      <w:bookmarkEnd w:id="46"/>
    </w:p>
    <w:p w14:paraId="353129A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Times New Roman" w:hAnsi="Times New Roman" w:eastAsia="方正仿宋_GBK" w:cs="Times New Roman"/>
          <w:b/>
          <w:bCs/>
          <w:color w:val="auto"/>
          <w:sz w:val="32"/>
          <w:szCs w:val="32"/>
          <w:lang w:eastAsia="zh-CN"/>
        </w:rPr>
      </w:pPr>
      <w:r>
        <w:rPr>
          <w:rFonts w:hint="eastAsia" w:ascii="Times New Roman" w:hAnsi="Times New Roman" w:eastAsia="方正仿宋_GBK" w:cs="Times New Roman"/>
          <w:color w:val="auto"/>
          <w:sz w:val="32"/>
          <w:szCs w:val="32"/>
          <w:lang w:val="en-US" w:eastAsia="zh-CN"/>
        </w:rPr>
        <w:t>南岸区</w:t>
      </w:r>
      <w:r>
        <w:rPr>
          <w:rFonts w:hint="eastAsia" w:ascii="Times New Roman" w:hAnsi="Times New Roman" w:eastAsia="方正仿宋_GBK" w:cs="Times New Roman"/>
          <w:color w:val="auto"/>
          <w:sz w:val="32"/>
          <w:szCs w:val="32"/>
        </w:rPr>
        <w:t>中职学校与重庆</w:t>
      </w:r>
      <w:r>
        <w:rPr>
          <w:rFonts w:ascii="Times New Roman" w:hAnsi="Times New Roman" w:eastAsia="方正仿宋_GBK" w:cs="Times New Roman"/>
          <w:color w:val="auto"/>
          <w:sz w:val="32"/>
          <w:szCs w:val="32"/>
        </w:rPr>
        <w:t>市</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33618</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现代制造业集群体系匹配</w:t>
      </w:r>
      <w:r>
        <w:rPr>
          <w:rFonts w:hint="eastAsia" w:ascii="Times New Roman" w:hAnsi="Times New Roman" w:eastAsia="方正仿宋_GBK" w:cs="Times New Roman"/>
          <w:color w:val="auto"/>
          <w:sz w:val="32"/>
          <w:szCs w:val="32"/>
        </w:rPr>
        <w:t>，设置专业设置39个，电子技术应用、机电技术应用、汽车制造与检测、智能设备运行与维护、软件与信息服务、大数据技术应用、动漫与游戏制作、计算机应用专业等专业设置紧密对接33618产业集群，契合产业需求</w:t>
      </w:r>
      <w:r>
        <w:rPr>
          <w:rFonts w:hint="eastAsia" w:ascii="Times New Roman" w:hAnsi="Times New Roman" w:eastAsia="方正仿宋_GBK" w:cs="Times New Roman"/>
          <w:color w:val="auto"/>
          <w:sz w:val="32"/>
          <w:szCs w:val="32"/>
          <w:lang w:val="en-US" w:eastAsia="zh-CN"/>
        </w:rPr>
        <w:t>。其中龙门浩职业中学校</w:t>
      </w:r>
      <w:r>
        <w:rPr>
          <w:rFonts w:hint="eastAsia" w:ascii="Times New Roman" w:hAnsi="Times New Roman" w:eastAsia="方正仿宋_GBK" w:cs="Times New Roman"/>
          <w:color w:val="auto"/>
          <w:sz w:val="32"/>
          <w:szCs w:val="32"/>
        </w:rPr>
        <w:t>招生专业32个，停办建筑装饰技术、商务英语、美发与形象设计3个专业。</w:t>
      </w:r>
      <w:r>
        <w:rPr>
          <w:rFonts w:hint="eastAsia" w:ascii="Times New Roman" w:hAnsi="Times New Roman" w:eastAsia="方正仿宋_GBK" w:cs="Times New Roman"/>
          <w:color w:val="auto"/>
          <w:sz w:val="32"/>
          <w:szCs w:val="32"/>
          <w:lang w:val="en-US" w:eastAsia="zh-CN"/>
        </w:rPr>
        <w:t>机电工程高级技工学校常设专业18个，高级技工专业5个（汽车维修、电气自动化设备安装与维修、电子技术应用、护理养老方向、计算机动画制作）；预备技师专业2个（汽车维修、电子技术应用）。重庆市特殊教育中心附设中职班开设有1个专业，为中医康复技术专业。</w:t>
      </w:r>
    </w:p>
    <w:p w14:paraId="19DEC70F">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47" w:name="_Toc18506"/>
      <w:bookmarkStart w:id="48" w:name="_Toc29329"/>
      <w:bookmarkStart w:id="49" w:name="_Toc28029"/>
      <w:r>
        <w:rPr>
          <w:rFonts w:hint="eastAsia"/>
          <w:lang w:val="en-US" w:eastAsia="zh-CN"/>
        </w:rPr>
        <w:t>1.2.2高水平专业（群）建设</w:t>
      </w:r>
      <w:bookmarkEnd w:id="47"/>
      <w:bookmarkEnd w:id="48"/>
      <w:bookmarkEnd w:id="49"/>
    </w:p>
    <w:p w14:paraId="443649B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一是对接区域产业特色集群。</w:t>
      </w:r>
      <w:r>
        <w:rPr>
          <w:rFonts w:hint="eastAsia" w:ascii="Times New Roman" w:hAnsi="Times New Roman" w:eastAsia="方正仿宋_GBK" w:cs="Times New Roman"/>
          <w:b w:val="0"/>
          <w:bCs w:val="0"/>
          <w:color w:val="auto"/>
          <w:sz w:val="32"/>
          <w:szCs w:val="32"/>
          <w:lang w:val="en-US" w:eastAsia="zh-CN"/>
        </w:rPr>
        <w:t>智能制造专业群，精准对接南岸区智能装备制造产业，针对关键岗位需求培养高技能人才，通过与企业共建实训基地、优化课程体系，融入前沿技术课程，提升学生实践与创新能力，助力区域智能制造产业发展。现代信息技术专业群，紧密围绕区内物联网和数字文创产业需求，定制课程与实训体系，与企业深度合作开展项目式教学，积极参与智慧南岸建设等项目，增强实践技能，为区域数字经济增长贡献力量。</w:t>
      </w:r>
      <w:r>
        <w:rPr>
          <w:rFonts w:hint="eastAsia" w:ascii="Times New Roman" w:hAnsi="Times New Roman" w:eastAsia="方正楷体_GBK" w:cs="Times New Roman"/>
          <w:color w:val="auto"/>
          <w:sz w:val="32"/>
          <w:szCs w:val="32"/>
          <w:lang w:val="en-US" w:eastAsia="zh-CN"/>
        </w:rPr>
        <w:t>二是强化重点与特色专业建设。</w:t>
      </w:r>
      <w:r>
        <w:rPr>
          <w:rFonts w:hint="eastAsia" w:ascii="Times New Roman" w:hAnsi="Times New Roman" w:eastAsia="方正仿宋_GBK" w:cs="Times New Roman"/>
          <w:b w:val="0"/>
          <w:bCs w:val="0"/>
          <w:color w:val="auto"/>
          <w:sz w:val="32"/>
          <w:szCs w:val="32"/>
          <w:lang w:val="en-US" w:eastAsia="zh-CN"/>
        </w:rPr>
        <w:t>重点特色专业提升计划，对于人工智能技术、智能制造、新能源汽车、直播电商、工艺美术等重点特色专业，加大师资投入，引进具有行业经验的专家和技术骨干担任兼职教师，提升教学团队的专业水平，加强实训设施建设，打造与产业实际场景高度契合的实训基地，确保学生掌握前沿技能。新兴特色专业培育举措，结合南岸区产业优势，培育新兴特色专业。其中软件与信息服务专业与科大讯飞等高新软件企业合作，开展贯通人才培养，康养休闲旅游服务专业引入新理念培养复合型人才，注重学生创新实践能力培养。</w:t>
      </w:r>
    </w:p>
    <w:p w14:paraId="49DE0E7C">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50" w:name="_Toc7348"/>
      <w:bookmarkStart w:id="51" w:name="_Toc7417"/>
      <w:bookmarkStart w:id="52" w:name="_Toc24565"/>
      <w:r>
        <w:rPr>
          <w:rFonts w:hint="eastAsia"/>
          <w:lang w:val="en-US" w:eastAsia="zh-CN"/>
        </w:rPr>
        <w:t>1.2.3专业动态调整与结构优化</w:t>
      </w:r>
      <w:bookmarkEnd w:id="50"/>
      <w:bookmarkEnd w:id="51"/>
      <w:bookmarkEnd w:id="52"/>
    </w:p>
    <w:p w14:paraId="48A0445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一是需求导向的动态调整机制。</w:t>
      </w:r>
      <w:r>
        <w:rPr>
          <w:rFonts w:hint="eastAsia" w:ascii="Times New Roman" w:hAnsi="Times New Roman" w:eastAsia="方正仿宋_GBK" w:cs="Times New Roman"/>
          <w:b w:val="0"/>
          <w:bCs w:val="0"/>
          <w:color w:val="auto"/>
          <w:sz w:val="32"/>
          <w:szCs w:val="32"/>
          <w:lang w:val="en-US" w:eastAsia="zh-CN"/>
        </w:rPr>
        <w:t>深入调研与数据分析，严格按照教育部职业教育中职专业目录（2022年版），组织开展行业、企业深度需求调研。通过与区内龙头企业建立长效合作调研机制、参与产业联盟人才需求研讨会议、发放精准化调查问卷等方式，广泛收集岗位人才需求数据，深入分析数据，了解产业趋势与岗位技能变化，为专业调整提供依据。根据数据分析发现南岸区人工智能产业对人才的需求增长，及时调整相关专业课程设置。专业优化与淘汰决策，依据调研结果，新设或强化前沿专业方向，如软件与信息服务专业的新兴软件开发架构方向。同时停办与办学定位不符、就业不佳的专业，如建筑装饰技术、商务英语、美发与形象设计等专业，以提升专业集中度和与区域经济的契合度。</w:t>
      </w:r>
      <w:r>
        <w:rPr>
          <w:rFonts w:hint="eastAsia" w:ascii="Times New Roman" w:hAnsi="Times New Roman" w:eastAsia="方正楷体_GBK" w:cs="Times New Roman"/>
          <w:color w:val="auto"/>
          <w:sz w:val="32"/>
          <w:szCs w:val="32"/>
          <w:lang w:val="en-US" w:eastAsia="zh-CN"/>
        </w:rPr>
        <w:t>二是构建协同联动的调整体系。</w:t>
      </w:r>
      <w:r>
        <w:rPr>
          <w:rFonts w:hint="eastAsia" w:ascii="Times New Roman" w:hAnsi="Times New Roman" w:eastAsia="方正仿宋_GBK" w:cs="Times New Roman"/>
          <w:b w:val="0"/>
          <w:bCs w:val="0"/>
          <w:color w:val="auto"/>
          <w:sz w:val="32"/>
          <w:szCs w:val="32"/>
          <w:lang w:val="en-US" w:eastAsia="zh-CN"/>
        </w:rPr>
        <w:t>搭建专业建设指导委员会主导、多部门协同参与的架构。委员会成员包括行业企业专家、教育教学骨干、企业人力资源主管等多元主体，以季度为周期评估专业适应性。各部门在专业调整过程中密切配合，教学部门负责课程调整和教学资源整合，招生就业部门提供市场需求信息和就业反馈，后勤部门保障实训设施建设等，形成校内合力推动专业调整。与南岸区经信委、科技局、工商联等政府部门和社会组织紧密协作，定期接收产业规划、技术革新、企业用工动态资讯。参与研讨活动，融入外部信息于专业调整决策，保障学校专业与区域产业协同发展。例如，根据经信委发布的产业发展规划，提前布局相关专业建设。</w:t>
      </w:r>
    </w:p>
    <w:p w14:paraId="4D844ACD">
      <w:pPr>
        <w:pStyle w:val="4"/>
        <w:keepNext w:val="0"/>
        <w:keepLines w:val="0"/>
        <w:pageBreakBefore w:val="0"/>
        <w:kinsoku/>
        <w:wordWrap/>
        <w:overflowPunct/>
        <w:topLinePunct w:val="0"/>
        <w:autoSpaceDE/>
        <w:autoSpaceDN/>
        <w:bidi w:val="0"/>
        <w:spacing w:line="600" w:lineRule="exact"/>
        <w:textAlignment w:val="auto"/>
        <w:rPr>
          <w:rFonts w:hint="eastAsia"/>
          <w:lang w:val="en-US" w:eastAsia="zh-CN"/>
        </w:rPr>
      </w:pPr>
      <w:bookmarkStart w:id="53" w:name="_Toc6332"/>
      <w:bookmarkStart w:id="54" w:name="_Toc20920"/>
      <w:bookmarkStart w:id="55" w:name="_Toc3248"/>
      <w:r>
        <w:rPr>
          <w:rFonts w:hint="eastAsia"/>
          <w:lang w:val="en-US" w:eastAsia="zh-CN"/>
        </w:rPr>
        <w:t>1.2.4专业教学标准建设与评价</w:t>
      </w:r>
      <w:bookmarkEnd w:id="53"/>
      <w:bookmarkEnd w:id="54"/>
      <w:bookmarkEnd w:id="55"/>
    </w:p>
    <w:p w14:paraId="602476B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一是教学标准体系建设。</w:t>
      </w:r>
      <w:r>
        <w:rPr>
          <w:rFonts w:hint="eastAsia" w:ascii="Times New Roman" w:hAnsi="Times New Roman" w:eastAsia="方正仿宋_GBK" w:cs="Times New Roman"/>
          <w:b w:val="0"/>
          <w:bCs w:val="0"/>
          <w:color w:val="auto"/>
          <w:sz w:val="32"/>
          <w:szCs w:val="32"/>
          <w:lang w:val="en-US" w:eastAsia="zh-CN"/>
        </w:rPr>
        <w:t>依据南岸区产业岗位构建以职业能力为核心的课程体系，各专业群明确核心与拓展课程，内容结合企业实际任务，引入真实案例，实现教学与产业对接。制定完善实践教学标准，确保实践教学占比不低于50%，建立质量监控体系全程跟踪评估，多维度评价实践教学效果，保障学生实践操作与技能训练。</w:t>
      </w:r>
      <w:r>
        <w:rPr>
          <w:rFonts w:hint="eastAsia" w:ascii="Times New Roman" w:hAnsi="Times New Roman" w:eastAsia="方正楷体_GBK" w:cs="Times New Roman"/>
          <w:color w:val="auto"/>
          <w:sz w:val="32"/>
          <w:szCs w:val="32"/>
          <w:lang w:val="en-US" w:eastAsia="zh-CN"/>
        </w:rPr>
        <w:t>二是教学质量评价与改进。</w:t>
      </w:r>
      <w:r>
        <w:rPr>
          <w:rFonts w:hint="eastAsia" w:ascii="Times New Roman" w:hAnsi="Times New Roman" w:eastAsia="方正仿宋_GBK" w:cs="Times New Roman"/>
          <w:b w:val="0"/>
          <w:bCs w:val="0"/>
          <w:color w:val="auto"/>
          <w:sz w:val="32"/>
          <w:szCs w:val="32"/>
          <w:lang w:val="en-US" w:eastAsia="zh-CN"/>
        </w:rPr>
        <w:t>建立多元化的教学质量评价主体，包括学生评价、教师自评、同行评价、企业评价等。学生评价通过在线评教系统、座谈会等方式进行，教师自评和同行评价注重教学方法创新、课程设计合理性等方面。企业评价则重点关注学生在实习和就业过程中的表现，以及专业技能与企业岗位需求的匹配度。例如，企业对实习学生的工作态度、专业技能掌握程度、团队协作能力等进行评价，并反馈给学校。根据教学质量评价结果，制定详细的改进措施。对于评价较低的课程和教师，组织教学研讨和培训活动，提升教学水平。定期修订教学标准，更新课程内容与教学方法，保障教学质量持续提升。例如，根据企业反馈，及时调整电子信息技术应用专业的课程内容，增加人工智能芯片技术等前沿知识。</w:t>
      </w:r>
    </w:p>
    <w:p w14:paraId="6DE58F47">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56" w:name="_Toc11583"/>
      <w:bookmarkStart w:id="57" w:name="_Toc13689"/>
      <w:bookmarkStart w:id="58" w:name="_Toc27280"/>
      <w:r>
        <w:rPr>
          <w:rFonts w:hint="eastAsia"/>
          <w:lang w:val="en-US" w:eastAsia="zh-CN"/>
        </w:rPr>
        <w:t>1.2.5人才贯通培养</w:t>
      </w:r>
      <w:bookmarkEnd w:id="56"/>
      <w:bookmarkEnd w:id="57"/>
      <w:bookmarkEnd w:id="58"/>
    </w:p>
    <w:p w14:paraId="233FE0A2">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一是中高职贯通合作深化。</w:t>
      </w:r>
      <w:r>
        <w:rPr>
          <w:rFonts w:hint="eastAsia" w:ascii="Times New Roman" w:hAnsi="Times New Roman" w:eastAsia="方正仿宋_GBK" w:cs="Times New Roman"/>
          <w:b w:val="0"/>
          <w:bCs w:val="0"/>
          <w:color w:val="auto"/>
          <w:sz w:val="32"/>
          <w:szCs w:val="32"/>
          <w:lang w:val="en-US" w:eastAsia="zh-CN"/>
        </w:rPr>
        <w:t>南岸区</w:t>
      </w:r>
      <w:r>
        <w:rPr>
          <w:rFonts w:hint="eastAsia" w:ascii="Times New Roman" w:hAnsi="Times New Roman" w:eastAsia="方正仿宋_GBK" w:cs="Times New Roman"/>
          <w:b w:val="0"/>
          <w:bCs w:val="0"/>
          <w:color w:val="auto"/>
          <w:sz w:val="32"/>
          <w:szCs w:val="32"/>
        </w:rPr>
        <w:t>统筹</w:t>
      </w:r>
      <w:r>
        <w:rPr>
          <w:rFonts w:hint="eastAsia" w:ascii="Times New Roman" w:hAnsi="Times New Roman" w:eastAsia="方正仿宋_GBK" w:cs="Times New Roman"/>
          <w:b w:val="0"/>
          <w:bCs w:val="0"/>
          <w:color w:val="auto"/>
          <w:sz w:val="32"/>
          <w:szCs w:val="32"/>
          <w:lang w:val="en-US" w:eastAsia="zh-CN"/>
        </w:rPr>
        <w:t>中职</w:t>
      </w:r>
      <w:r>
        <w:rPr>
          <w:rFonts w:hint="eastAsia" w:ascii="Times New Roman" w:hAnsi="Times New Roman" w:eastAsia="方正仿宋_GBK" w:cs="Times New Roman"/>
          <w:b w:val="0"/>
          <w:bCs w:val="0"/>
          <w:color w:val="auto"/>
          <w:sz w:val="32"/>
          <w:szCs w:val="32"/>
        </w:rPr>
        <w:t>学校加强院校合作</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创新合作模式，与高校共同开展人才培养方案制定、课程体系构建、师资队伍建设等工作，</w:t>
      </w:r>
      <w:r>
        <w:rPr>
          <w:rFonts w:hint="eastAsia" w:ascii="Times New Roman" w:hAnsi="Times New Roman" w:eastAsia="方正仿宋_GBK" w:cs="Times New Roman"/>
          <w:b w:val="0"/>
          <w:bCs w:val="0"/>
          <w:color w:val="auto"/>
          <w:sz w:val="32"/>
          <w:szCs w:val="32"/>
        </w:rPr>
        <w:t>做好高考班、3+2、3+4</w:t>
      </w:r>
      <w:r>
        <w:rPr>
          <w:rFonts w:hint="eastAsia" w:ascii="Times New Roman" w:hAnsi="Times New Roman" w:eastAsia="方正仿宋_GBK" w:cs="Times New Roman"/>
          <w:b w:val="0"/>
          <w:bCs w:val="0"/>
          <w:color w:val="auto"/>
          <w:sz w:val="32"/>
          <w:szCs w:val="32"/>
          <w:lang w:val="en-US" w:eastAsia="zh-CN"/>
        </w:rPr>
        <w:t>贯通培养</w:t>
      </w:r>
      <w:r>
        <w:rPr>
          <w:rFonts w:hint="eastAsia" w:ascii="Times New Roman" w:hAnsi="Times New Roman" w:eastAsia="方正仿宋_GBK" w:cs="Times New Roman"/>
          <w:b w:val="0"/>
          <w:bCs w:val="0"/>
          <w:color w:val="auto"/>
          <w:sz w:val="32"/>
          <w:szCs w:val="32"/>
        </w:rPr>
        <w:t>，202</w:t>
      </w:r>
      <w:r>
        <w:rPr>
          <w:rFonts w:hint="eastAsia" w:ascii="Times New Roman" w:hAnsi="Times New Roman" w:eastAsia="方正仿宋_GBK" w:cs="Times New Roman"/>
          <w:b w:val="0"/>
          <w:bCs w:val="0"/>
          <w:color w:val="auto"/>
          <w:sz w:val="32"/>
          <w:szCs w:val="32"/>
          <w:lang w:val="en-US" w:eastAsia="zh-CN"/>
        </w:rPr>
        <w:t>4</w:t>
      </w:r>
      <w:r>
        <w:rPr>
          <w:rFonts w:hint="eastAsia" w:ascii="Times New Roman" w:hAnsi="Times New Roman" w:eastAsia="方正仿宋_GBK" w:cs="Times New Roman"/>
          <w:b w:val="0"/>
          <w:bCs w:val="0"/>
          <w:color w:val="auto"/>
          <w:sz w:val="32"/>
          <w:szCs w:val="32"/>
        </w:rPr>
        <w:t>年</w:t>
      </w:r>
      <w:r>
        <w:rPr>
          <w:rFonts w:hint="eastAsia" w:ascii="Times New Roman" w:hAnsi="Times New Roman" w:eastAsia="方正仿宋_GBK" w:cs="Times New Roman"/>
          <w:color w:val="auto"/>
          <w:sz w:val="32"/>
          <w:szCs w:val="32"/>
          <w:lang w:val="en-US" w:eastAsia="zh-CN"/>
        </w:rPr>
        <w:t>委属公办中职学校</w:t>
      </w:r>
      <w:r>
        <w:rPr>
          <w:rFonts w:hint="eastAsia" w:ascii="Times New Roman" w:hAnsi="Times New Roman" w:eastAsia="方正仿宋_GBK" w:cs="Times New Roman"/>
          <w:b w:val="0"/>
          <w:bCs w:val="0"/>
          <w:color w:val="auto"/>
          <w:sz w:val="32"/>
          <w:szCs w:val="32"/>
        </w:rPr>
        <w:t>3+2贯通在读</w:t>
      </w:r>
      <w:r>
        <w:rPr>
          <w:rFonts w:hint="eastAsia" w:ascii="Times New Roman" w:hAnsi="Times New Roman" w:eastAsia="方正仿宋_GBK" w:cs="Times New Roman"/>
          <w:b w:val="0"/>
          <w:bCs w:val="0"/>
          <w:color w:val="auto"/>
          <w:sz w:val="32"/>
          <w:szCs w:val="32"/>
          <w:lang w:val="en-US" w:eastAsia="zh-CN"/>
        </w:rPr>
        <w:t>2728</w:t>
      </w:r>
      <w:r>
        <w:rPr>
          <w:rFonts w:hint="eastAsia" w:ascii="Times New Roman" w:hAnsi="Times New Roman" w:eastAsia="方正仿宋_GBK" w:cs="Times New Roman"/>
          <w:b w:val="0"/>
          <w:bCs w:val="0"/>
          <w:color w:val="auto"/>
          <w:sz w:val="32"/>
          <w:szCs w:val="32"/>
        </w:rPr>
        <w:t>人</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3+4贯通在读</w:t>
      </w:r>
      <w:r>
        <w:rPr>
          <w:rFonts w:hint="eastAsia" w:ascii="Times New Roman" w:hAnsi="Times New Roman" w:eastAsia="方正仿宋_GBK" w:cs="Times New Roman"/>
          <w:b w:val="0"/>
          <w:bCs w:val="0"/>
          <w:color w:val="auto"/>
          <w:sz w:val="32"/>
          <w:szCs w:val="32"/>
          <w:lang w:val="en-US" w:eastAsia="zh-CN"/>
        </w:rPr>
        <w:t>364</w:t>
      </w:r>
      <w:r>
        <w:rPr>
          <w:rFonts w:hint="eastAsia" w:ascii="Times New Roman" w:hAnsi="Times New Roman" w:eastAsia="方正仿宋_GBK" w:cs="Times New Roman"/>
          <w:b w:val="0"/>
          <w:bCs w:val="0"/>
          <w:color w:val="auto"/>
          <w:sz w:val="32"/>
          <w:szCs w:val="32"/>
        </w:rPr>
        <w:t>人</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重庆市龙门浩职业中学校和重庆文理学院、重庆移通学院</w:t>
      </w:r>
      <w:r>
        <w:rPr>
          <w:rFonts w:hint="eastAsia" w:ascii="Times New Roman" w:hAnsi="Times New Roman" w:eastAsia="方正仿宋_GBK" w:cs="Times New Roman"/>
          <w:b w:val="0"/>
          <w:bCs w:val="0"/>
          <w:color w:val="auto"/>
          <w:sz w:val="32"/>
          <w:szCs w:val="32"/>
          <w:lang w:eastAsia="zh-CN"/>
        </w:rPr>
        <w:t>、重庆机电职业技术大学</w:t>
      </w:r>
      <w:r>
        <w:rPr>
          <w:rFonts w:hint="eastAsia" w:ascii="Times New Roman" w:hAnsi="Times New Roman" w:eastAsia="方正仿宋_GBK" w:cs="Times New Roman"/>
          <w:b w:val="0"/>
          <w:bCs w:val="0"/>
          <w:color w:val="auto"/>
          <w:sz w:val="32"/>
          <w:szCs w:val="32"/>
        </w:rPr>
        <w:t>合作3+4专业</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与重庆电子工程职业学院</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重庆工程职业技术学院</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重庆城市管理职业学院</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重庆工贸职业技术学院</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重庆航天职业技术学院</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重庆建筑工程职业学院</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重庆交通职业学院</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重庆科创职业学院合作3+2专业</w:t>
      </w:r>
      <w:r>
        <w:rPr>
          <w:rFonts w:hint="eastAsia" w:ascii="Times New Roman" w:hAnsi="Times New Roman" w:eastAsia="方正仿宋_GBK" w:cs="Times New Roman"/>
          <w:b w:val="0"/>
          <w:bCs w:val="0"/>
          <w:color w:val="auto"/>
          <w:sz w:val="32"/>
          <w:szCs w:val="32"/>
          <w:lang w:val="en-US" w:eastAsia="zh-CN"/>
        </w:rPr>
        <w:t>23个，特殊教育中心与重庆海联职业技术学院达成3+2协议。雕琢课程衔接方案，从中职到高职实现知识体系递进、技能进阶训练、职业素养递升。建立一体化人才培养模式，实现中高职在教学资源共享、实训基地共用、学生管理协同等方面的深度融合，共享双方的实训设备和实习基地，为学生提供更广阔的实践平台。</w:t>
      </w:r>
      <w:r>
        <w:rPr>
          <w:rFonts w:hint="eastAsia" w:ascii="Times New Roman" w:hAnsi="Times New Roman" w:eastAsia="方正楷体_GBK" w:cs="Times New Roman"/>
          <w:color w:val="auto"/>
          <w:sz w:val="32"/>
          <w:szCs w:val="32"/>
          <w:lang w:val="en-US" w:eastAsia="zh-CN"/>
        </w:rPr>
        <w:t>二是升学就业双导向培养体系。</w:t>
      </w:r>
      <w:r>
        <w:rPr>
          <w:rFonts w:hint="eastAsia" w:ascii="Times New Roman" w:hAnsi="Times New Roman" w:eastAsia="方正仿宋_GBK" w:cs="Times New Roman"/>
          <w:b w:val="0"/>
          <w:bCs w:val="0"/>
          <w:color w:val="auto"/>
          <w:sz w:val="32"/>
          <w:szCs w:val="32"/>
          <w:lang w:val="en-US" w:eastAsia="zh-CN"/>
        </w:rPr>
        <w:t>针对升学学生强化课程辅导与技能竞赛培训融合，开设升学辅导课程，如重庆市职业院校技能大赛等，通过竞赛锻炼学生的实践能力和创新思维，为升学加分，提升升学竞争力与实践创新能力。围绕南岸区企业岗位技能标准，构建模块化课程与实战化实训体系。根据企业岗位需求，将专业课程分解为多个模块，学生可根据兴趣和就业方向选择学习。携手区内知名企业定制人才培养项目超5个，与重庆盟讯电子科技有限公司合作培养智能终端设备制造与检测人才、与现代服务企业合作培养文旅服务人才，企业全程参与人才培养，完善就业服务体系，提高学生就业质量。</w:t>
      </w:r>
    </w:p>
    <w:p w14:paraId="6379E8A2">
      <w:pPr>
        <w:pStyle w:val="3"/>
        <w:keepNext w:val="0"/>
        <w:keepLines w:val="0"/>
        <w:pageBreakBefore w:val="0"/>
        <w:kinsoku/>
        <w:wordWrap/>
        <w:overflowPunct/>
        <w:topLinePunct w:val="0"/>
        <w:autoSpaceDE/>
        <w:autoSpaceDN/>
        <w:bidi w:val="0"/>
        <w:spacing w:line="600" w:lineRule="exact"/>
        <w:textAlignment w:val="auto"/>
        <w:rPr>
          <w:rFonts w:hint="eastAsia"/>
          <w:lang w:val="en-US" w:eastAsia="zh-CN"/>
        </w:rPr>
      </w:pPr>
      <w:bookmarkStart w:id="59" w:name="_Toc16847"/>
      <w:bookmarkStart w:id="60" w:name="_Toc20385"/>
      <w:bookmarkStart w:id="61" w:name="_Toc9475"/>
      <w:r>
        <w:rPr>
          <w:rFonts w:hint="eastAsia"/>
          <w:lang w:val="en-US" w:eastAsia="zh-CN"/>
        </w:rPr>
        <w:t>1.3学生规模</w:t>
      </w:r>
      <w:bookmarkEnd w:id="59"/>
      <w:bookmarkEnd w:id="60"/>
      <w:bookmarkEnd w:id="61"/>
    </w:p>
    <w:p w14:paraId="42A49F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rPr>
        <w:t>2024年，</w:t>
      </w:r>
      <w:r>
        <w:rPr>
          <w:rFonts w:hint="eastAsia" w:ascii="Times New Roman" w:hAnsi="Times New Roman" w:eastAsia="方正仿宋_GBK" w:cs="Times New Roman"/>
          <w:color w:val="auto"/>
          <w:sz w:val="32"/>
          <w:szCs w:val="32"/>
          <w:lang w:val="en-US" w:eastAsia="zh-CN"/>
        </w:rPr>
        <w:t>南岸区委属公办中职学校</w:t>
      </w:r>
      <w:r>
        <w:rPr>
          <w:rFonts w:hint="eastAsia" w:ascii="Times New Roman" w:hAnsi="Times New Roman" w:eastAsia="方正仿宋_GBK" w:cs="Times New Roman"/>
          <w:color w:val="auto"/>
          <w:sz w:val="32"/>
          <w:szCs w:val="32"/>
        </w:rPr>
        <w:t>在校生数为</w:t>
      </w:r>
      <w:r>
        <w:rPr>
          <w:rFonts w:hint="eastAsia" w:ascii="Times New Roman" w:hAnsi="Times New Roman" w:eastAsia="方正仿宋_GBK" w:cs="Times New Roman"/>
          <w:color w:val="auto"/>
          <w:sz w:val="32"/>
          <w:szCs w:val="32"/>
          <w:lang w:val="en-US" w:eastAsia="zh-CN"/>
        </w:rPr>
        <w:t>6117</w:t>
      </w:r>
      <w:r>
        <w:rPr>
          <w:rFonts w:hint="eastAsia" w:ascii="Times New Roman" w:hAnsi="Times New Roman" w:eastAsia="方正仿宋_GBK" w:cs="Times New Roman"/>
          <w:color w:val="auto"/>
          <w:sz w:val="32"/>
          <w:szCs w:val="32"/>
        </w:rPr>
        <w:t>人，毕业生数为2139人，中职教育招生规模排在前三的专业大类分别为：电子与信息大类、财经商贸大类、装备制造大类，其中计算机应用、会计事务、汽车制造与检测、数字媒体应用技术专业倍受学生</w:t>
      </w:r>
      <w:r>
        <w:rPr>
          <w:rFonts w:hint="eastAsia" w:ascii="Times New Roman" w:hAnsi="Times New Roman" w:eastAsia="方正仿宋_GBK" w:cs="Times New Roman"/>
          <w:color w:val="auto"/>
          <w:sz w:val="32"/>
          <w:szCs w:val="32"/>
          <w:lang w:eastAsia="zh-CN"/>
        </w:rPr>
        <w:t>青睐</w:t>
      </w:r>
      <w:r>
        <w:rPr>
          <w:rFonts w:hint="eastAsia" w:ascii="Times New Roman" w:hAnsi="Times New Roman" w:eastAsia="方正仿宋_GBK" w:cs="Times New Roman"/>
          <w:color w:val="auto"/>
          <w:sz w:val="32"/>
          <w:szCs w:val="32"/>
        </w:rPr>
        <w:t>，在校生数量保持相对稳定态势。</w:t>
      </w:r>
    </w:p>
    <w:p w14:paraId="2C9A965E">
      <w:pPr>
        <w:pStyle w:val="38"/>
        <w:bidi w:val="0"/>
        <w:rPr>
          <w:rFonts w:hint="eastAsia"/>
          <w:lang w:val="en-US" w:eastAsia="zh-CN"/>
        </w:rPr>
      </w:pPr>
      <w:bookmarkStart w:id="62" w:name="_Toc13608"/>
      <w:r>
        <w:rPr>
          <w:rFonts w:hint="eastAsia"/>
          <w:lang w:val="en-US" w:eastAsia="zh-CN"/>
        </w:rPr>
        <w:t xml:space="preserve">表1 </w:t>
      </w:r>
      <w:r>
        <w:rPr>
          <w:rFonts w:hint="eastAsia"/>
        </w:rPr>
        <w:t>中职学校各专业大类学生规模</w:t>
      </w:r>
      <w:bookmarkEnd w:id="62"/>
    </w:p>
    <w:tbl>
      <w:tblPr>
        <w:tblStyle w:val="21"/>
        <w:tblW w:w="4998" w:type="pct"/>
        <w:jc w:val="center"/>
        <w:tblLayout w:type="autofit"/>
        <w:tblCellMar>
          <w:top w:w="0" w:type="dxa"/>
          <w:left w:w="108" w:type="dxa"/>
          <w:bottom w:w="0" w:type="dxa"/>
          <w:right w:w="108" w:type="dxa"/>
        </w:tblCellMar>
      </w:tblPr>
      <w:tblGrid>
        <w:gridCol w:w="2387"/>
        <w:gridCol w:w="709"/>
        <w:gridCol w:w="716"/>
        <w:gridCol w:w="729"/>
        <w:gridCol w:w="821"/>
        <w:gridCol w:w="786"/>
        <w:gridCol w:w="756"/>
        <w:gridCol w:w="710"/>
        <w:gridCol w:w="716"/>
        <w:gridCol w:w="727"/>
      </w:tblGrid>
      <w:tr w14:paraId="39424C13">
        <w:tblPrEx>
          <w:tblCellMar>
            <w:top w:w="0" w:type="dxa"/>
            <w:left w:w="108" w:type="dxa"/>
            <w:bottom w:w="0" w:type="dxa"/>
            <w:right w:w="108" w:type="dxa"/>
          </w:tblCellMar>
        </w:tblPrEx>
        <w:trPr>
          <w:trHeight w:val="0" w:hRule="atLeast"/>
          <w:jc w:val="center"/>
        </w:trPr>
        <w:tc>
          <w:tcPr>
            <w:tcW w:w="1318" w:type="pct"/>
            <w:vMerge w:val="restar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2CA9584E">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专业大类</w:t>
            </w:r>
          </w:p>
        </w:tc>
        <w:tc>
          <w:tcPr>
            <w:tcW w:w="1188" w:type="pct"/>
            <w:gridSpan w:val="3"/>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1CD4AA8B">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招生数</w:t>
            </w:r>
          </w:p>
        </w:tc>
        <w:tc>
          <w:tcPr>
            <w:tcW w:w="1304" w:type="pct"/>
            <w:gridSpan w:val="3"/>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2EE1F048">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在校生数</w:t>
            </w:r>
          </w:p>
        </w:tc>
        <w:tc>
          <w:tcPr>
            <w:tcW w:w="1188" w:type="pct"/>
            <w:gridSpan w:val="3"/>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5FAB2573">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毕业生数</w:t>
            </w:r>
          </w:p>
        </w:tc>
      </w:tr>
      <w:tr w14:paraId="2A3ADAF3">
        <w:tblPrEx>
          <w:tblCellMar>
            <w:top w:w="0" w:type="dxa"/>
            <w:left w:w="108" w:type="dxa"/>
            <w:bottom w:w="0" w:type="dxa"/>
            <w:right w:w="108" w:type="dxa"/>
          </w:tblCellMar>
        </w:tblPrEx>
        <w:trPr>
          <w:trHeight w:val="0" w:hRule="atLeast"/>
          <w:jc w:val="center"/>
        </w:trPr>
        <w:tc>
          <w:tcPr>
            <w:tcW w:w="1318" w:type="pct"/>
            <w:vMerge w:val="continue"/>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0060C1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9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879AF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2022</w:t>
            </w:r>
          </w:p>
        </w:tc>
        <w:tc>
          <w:tcPr>
            <w:tcW w:w="39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8D0EC3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40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5B799E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45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99C980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2022</w:t>
            </w:r>
          </w:p>
        </w:tc>
        <w:tc>
          <w:tcPr>
            <w:tcW w:w="434"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AC162D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417"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6C8958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39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0F49BF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2022</w:t>
            </w:r>
          </w:p>
        </w:tc>
        <w:tc>
          <w:tcPr>
            <w:tcW w:w="39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A88416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401"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71BC57D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r>
      <w:tr w14:paraId="6F222012">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3624EF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轻工纺织大类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EDCFBA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75</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74653E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B6BCBB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86</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3ED764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796</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A1DE5A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194</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53FC2E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210</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79AFE0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58</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007A2F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54</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CDF0A5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63</w:t>
            </w:r>
          </w:p>
        </w:tc>
      </w:tr>
      <w:tr w14:paraId="3A1B35AA">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DF5546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旅游大类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C5DFDF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90</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329EB4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E96DFC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136</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EEC896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264</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5043BD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259</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601AE6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304</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840B1C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106</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3B61D7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82</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BFE7C8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91</w:t>
            </w:r>
          </w:p>
        </w:tc>
      </w:tr>
      <w:tr w14:paraId="4B41BF85">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852E59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交通运输大类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0DEB94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103</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CC89DA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86B592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38</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447FE6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367</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F075FD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300</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87BA4C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237</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8B7FF6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210</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B7FC8E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173</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900EDC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96</w:t>
            </w:r>
          </w:p>
        </w:tc>
      </w:tr>
      <w:tr w14:paraId="2AF069FC">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39DF94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土木建筑大类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F3CADA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62</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B1E566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49</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EA228E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EF7111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172</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5CB861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191</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DF3544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109</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46D4D2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35</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EC6B0F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160C80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80</w:t>
            </w:r>
          </w:p>
        </w:tc>
      </w:tr>
      <w:tr w14:paraId="143C5C37">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860EAB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文化艺术大类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BCE9F7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131</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1BD744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135</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B4302B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161</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7F67B9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501</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886489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434</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20D6E9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450</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E64948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278</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78172B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251</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FB7185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138</w:t>
            </w:r>
          </w:p>
        </w:tc>
      </w:tr>
      <w:tr w14:paraId="5AF98C6A">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C5CF9E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装备制造大类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80B7AC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364</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E3DC45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290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31F0B0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255</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258C1F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1101</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0D1303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1103</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152AD1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863</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30679C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271</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8C6675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242</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4F3CAF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468</w:t>
            </w:r>
          </w:p>
        </w:tc>
      </w:tr>
      <w:tr w14:paraId="6604D9BA">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873D8E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公共管理与服务大类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FF9B7D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38</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F00656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36</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5ACA54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28</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3A7AE2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72</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7416E2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103</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E790EA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96</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682021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6A0B8C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77888D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33</w:t>
            </w:r>
          </w:p>
        </w:tc>
      </w:tr>
      <w:tr w14:paraId="24C3A7DA">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077EED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电子与信息大类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F09D33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584</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311862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700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399306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585</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750751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1808</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0A864B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1862</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63667E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1829</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DE50E8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688</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4BBC05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599</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B4FD72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601</w:t>
            </w:r>
          </w:p>
        </w:tc>
      </w:tr>
      <w:tr w14:paraId="5EF34EC0">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859904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教育与体育大类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E64451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118</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40F466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989736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70</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A02BF8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448</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0E4D93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377</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35D411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264</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5B8601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119</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4C86BA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156</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BF2C20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176</w:t>
            </w:r>
          </w:p>
        </w:tc>
      </w:tr>
      <w:tr w14:paraId="55B6D7EF">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6D7C2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加工制造类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70C8BE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44</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B7BEBB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32</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8B5898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27</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553712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44</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64CF3C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75</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A11BCF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102</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A35AB7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0DDAD9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D219A2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4B3FD4FF">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52086D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新闻传播大类</w:t>
            </w:r>
          </w:p>
        </w:tc>
        <w:tc>
          <w:tcPr>
            <w:tcW w:w="39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7A6875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96</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DD2345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140</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3CD42F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85</w:t>
            </w:r>
          </w:p>
        </w:tc>
        <w:tc>
          <w:tcPr>
            <w:tcW w:w="4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782F33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209</w:t>
            </w:r>
          </w:p>
        </w:tc>
        <w:tc>
          <w:tcPr>
            <w:tcW w:w="43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62A062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296</w:t>
            </w:r>
          </w:p>
        </w:tc>
        <w:tc>
          <w:tcPr>
            <w:tcW w:w="41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A684C2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308</w:t>
            </w:r>
          </w:p>
        </w:tc>
        <w:tc>
          <w:tcPr>
            <w:tcW w:w="3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0EE323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3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978DD1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48</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0DC8A2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74</w:t>
            </w:r>
          </w:p>
        </w:tc>
      </w:tr>
      <w:tr w14:paraId="6190CFB4">
        <w:tblPrEx>
          <w:tblCellMar>
            <w:top w:w="0" w:type="dxa"/>
            <w:left w:w="108" w:type="dxa"/>
            <w:bottom w:w="0" w:type="dxa"/>
            <w:right w:w="108" w:type="dxa"/>
          </w:tblCellMar>
        </w:tblPrEx>
        <w:trPr>
          <w:trHeight w:val="0" w:hRule="atLeast"/>
          <w:jc w:val="center"/>
        </w:trPr>
        <w:tc>
          <w:tcPr>
            <w:tcW w:w="1318"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1FCF933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财经商贸大类</w:t>
            </w:r>
          </w:p>
        </w:tc>
        <w:tc>
          <w:tcPr>
            <w:tcW w:w="39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056D18D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298</w:t>
            </w:r>
          </w:p>
        </w:tc>
        <w:tc>
          <w:tcPr>
            <w:tcW w:w="39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57694F2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294</w:t>
            </w:r>
          </w:p>
        </w:tc>
        <w:tc>
          <w:tcPr>
            <w:tcW w:w="40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7C5E3EC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220</w:t>
            </w:r>
          </w:p>
        </w:tc>
        <w:tc>
          <w:tcPr>
            <w:tcW w:w="45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2D49FCD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883</w:t>
            </w:r>
          </w:p>
        </w:tc>
        <w:tc>
          <w:tcPr>
            <w:tcW w:w="434"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5813D88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889</w:t>
            </w:r>
          </w:p>
        </w:tc>
        <w:tc>
          <w:tcPr>
            <w:tcW w:w="417"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7B858FD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783</w:t>
            </w:r>
          </w:p>
        </w:tc>
        <w:tc>
          <w:tcPr>
            <w:tcW w:w="39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15D0EC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265</w:t>
            </w:r>
          </w:p>
        </w:tc>
        <w:tc>
          <w:tcPr>
            <w:tcW w:w="39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13C7278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260</w:t>
            </w:r>
          </w:p>
        </w:tc>
        <w:tc>
          <w:tcPr>
            <w:tcW w:w="401"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718687C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311</w:t>
            </w:r>
          </w:p>
        </w:tc>
      </w:tr>
    </w:tbl>
    <w:p w14:paraId="77CAA50F">
      <w:pPr>
        <w:pStyle w:val="3"/>
        <w:keepNext w:val="0"/>
        <w:keepLines w:val="0"/>
        <w:pageBreakBefore w:val="0"/>
        <w:widowControl w:val="0"/>
        <w:kinsoku/>
        <w:wordWrap/>
        <w:overflowPunct/>
        <w:topLinePunct w:val="0"/>
        <w:autoSpaceDE/>
        <w:autoSpaceDN/>
        <w:bidi w:val="0"/>
        <w:adjustRightInd/>
        <w:snapToGrid/>
        <w:spacing w:line="600" w:lineRule="exact"/>
        <w:textAlignment w:val="auto"/>
      </w:pPr>
      <w:bookmarkStart w:id="63" w:name="_Toc30653"/>
      <w:bookmarkStart w:id="64" w:name="_Toc14963"/>
      <w:bookmarkStart w:id="65" w:name="_Toc8016"/>
      <w:r>
        <w:rPr>
          <w:rFonts w:hint="eastAsia"/>
        </w:rPr>
        <w:t>1.4师资队伍</w:t>
      </w:r>
      <w:bookmarkEnd w:id="63"/>
      <w:bookmarkEnd w:id="64"/>
      <w:bookmarkEnd w:id="65"/>
    </w:p>
    <w:p w14:paraId="0A6F92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南岸区</w:t>
      </w:r>
      <w:r>
        <w:rPr>
          <w:rFonts w:hint="eastAsia" w:ascii="Times New Roman" w:hAnsi="Times New Roman" w:eastAsia="方正仿宋_GBK" w:cs="Times New Roman"/>
          <w:color w:val="auto"/>
          <w:sz w:val="32"/>
          <w:szCs w:val="32"/>
          <w:lang w:val="en-US" w:eastAsia="zh-CN"/>
        </w:rPr>
        <w:t>委属公办中职学校</w:t>
      </w:r>
      <w:r>
        <w:rPr>
          <w:rFonts w:hint="eastAsia" w:ascii="Times New Roman" w:hAnsi="Times New Roman" w:eastAsia="方正仿宋_GBK" w:cs="Times New Roman"/>
          <w:color w:val="auto"/>
          <w:sz w:val="32"/>
          <w:szCs w:val="32"/>
        </w:rPr>
        <w:t>共有教职工400人</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专任教师345人</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占教职工比86.25%、兼职教师15人，占教职工比3.75%，校内专任教师中具有硕士及以上学位人员数43人，占专任教师比12.5%、具有高级职称人员数82人</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占专任教师比24%、具有“双师素质”人员数208人，及占专任教师比60.29%。</w:t>
      </w:r>
    </w:p>
    <w:p w14:paraId="2490F8FC">
      <w:pPr>
        <w:pStyle w:val="38"/>
        <w:bidi w:val="0"/>
        <w:rPr>
          <w:rFonts w:hint="eastAsia"/>
          <w:lang w:val="en-US" w:eastAsia="zh-CN"/>
        </w:rPr>
      </w:pPr>
      <w:bookmarkStart w:id="66" w:name="_Toc14476"/>
      <w:r>
        <w:rPr>
          <w:rFonts w:hint="eastAsia"/>
          <w:lang w:val="en-US" w:eastAsia="zh-CN"/>
        </w:rPr>
        <w:t xml:space="preserve">表2 </w:t>
      </w:r>
      <w:r>
        <w:rPr>
          <w:rFonts w:hint="eastAsia"/>
        </w:rPr>
        <w:t>中职学校</w:t>
      </w:r>
      <w:r>
        <w:rPr>
          <w:rFonts w:hint="eastAsia"/>
          <w:lang w:val="en-US" w:eastAsia="zh-CN"/>
        </w:rPr>
        <w:t>师资队伍基本情况一览表</w:t>
      </w:r>
      <w:bookmarkEnd w:id="66"/>
    </w:p>
    <w:tbl>
      <w:tblPr>
        <w:tblStyle w:val="2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2284"/>
        <w:gridCol w:w="764"/>
        <w:gridCol w:w="902"/>
        <w:gridCol w:w="389"/>
        <w:gridCol w:w="377"/>
        <w:gridCol w:w="1274"/>
        <w:gridCol w:w="389"/>
        <w:gridCol w:w="378"/>
        <w:gridCol w:w="1535"/>
      </w:tblGrid>
      <w:tr w14:paraId="3402F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vMerge w:val="restar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51A81D8C">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年度</w:t>
            </w:r>
          </w:p>
        </w:tc>
        <w:tc>
          <w:tcPr>
            <w:tcW w:w="1261"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3C06A08C">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教职工总数（人）</w:t>
            </w:r>
          </w:p>
        </w:tc>
        <w:tc>
          <w:tcPr>
            <w:tcW w:w="920"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799FF551">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专任教师</w:t>
            </w:r>
          </w:p>
        </w:tc>
        <w:tc>
          <w:tcPr>
            <w:tcW w:w="1126" w:type="pct"/>
            <w:gridSpan w:val="3"/>
            <w:tcBorders>
              <w:top w:val="single" w:color="4874CB" w:themeColor="accent1" w:sz="6" w:space="0"/>
              <w:left w:val="single" w:color="B5C7EA" w:themeColor="accent1" w:themeTint="66" w:sz="6" w:space="0"/>
              <w:bottom w:val="single" w:color="4874CB" w:themeColor="accent1" w:sz="6" w:space="0"/>
              <w:right w:val="single" w:color="4874CB" w:themeColor="accent1" w:sz="6" w:space="0"/>
            </w:tcBorders>
            <w:shd w:val="clear" w:color="auto" w:fill="4874CB" w:themeFill="accent1"/>
            <w:vAlign w:val="center"/>
          </w:tcPr>
          <w:p w14:paraId="4CEE259D">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兼职教师</w:t>
            </w:r>
          </w:p>
        </w:tc>
        <w:tc>
          <w:tcPr>
            <w:tcW w:w="1268" w:type="pct"/>
            <w:gridSpan w:val="3"/>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21EDE3A4">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双师型教师</w:t>
            </w:r>
          </w:p>
        </w:tc>
      </w:tr>
      <w:tr w14:paraId="1F023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vMerge w:val="continue"/>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C0E7C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261"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DA27EB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42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D1380C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数量</w:t>
            </w:r>
          </w:p>
        </w:tc>
        <w:tc>
          <w:tcPr>
            <w:tcW w:w="498"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3A3F9A5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比例%</w:t>
            </w:r>
          </w:p>
        </w:tc>
        <w:tc>
          <w:tcPr>
            <w:tcW w:w="423" w:type="pct"/>
            <w:gridSpan w:val="2"/>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D794E1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数量</w:t>
            </w:r>
          </w:p>
        </w:tc>
        <w:tc>
          <w:tcPr>
            <w:tcW w:w="70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CFE9FF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比例%</w:t>
            </w:r>
          </w:p>
        </w:tc>
        <w:tc>
          <w:tcPr>
            <w:tcW w:w="423" w:type="pct"/>
            <w:gridSpan w:val="2"/>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74B103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数量</w:t>
            </w:r>
          </w:p>
        </w:tc>
        <w:tc>
          <w:tcPr>
            <w:tcW w:w="84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622037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比例%</w:t>
            </w:r>
          </w:p>
        </w:tc>
      </w:tr>
      <w:tr w14:paraId="07051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661C73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2022</w:t>
            </w:r>
          </w:p>
        </w:tc>
        <w:tc>
          <w:tcPr>
            <w:tcW w:w="12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205B7C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407</w:t>
            </w:r>
          </w:p>
        </w:tc>
        <w:tc>
          <w:tcPr>
            <w:tcW w:w="4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D0CC2A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356</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3554F81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87.47</w:t>
            </w:r>
          </w:p>
        </w:tc>
        <w:tc>
          <w:tcPr>
            <w:tcW w:w="4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AB5988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c>
          <w:tcPr>
            <w:tcW w:w="70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A50959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2.46</w:t>
            </w:r>
          </w:p>
        </w:tc>
        <w:tc>
          <w:tcPr>
            <w:tcW w:w="4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19FAA5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199</w:t>
            </w:r>
          </w:p>
        </w:tc>
        <w:tc>
          <w:tcPr>
            <w:tcW w:w="84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3E542C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55.9</w:t>
            </w:r>
          </w:p>
        </w:tc>
      </w:tr>
      <w:tr w14:paraId="62232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C9640C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12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5A90FB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392</w:t>
            </w:r>
          </w:p>
        </w:tc>
        <w:tc>
          <w:tcPr>
            <w:tcW w:w="4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F3EC20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345</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58EA6F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88.01</w:t>
            </w:r>
          </w:p>
        </w:tc>
        <w:tc>
          <w:tcPr>
            <w:tcW w:w="4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EE0AA4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12</w:t>
            </w:r>
          </w:p>
        </w:tc>
        <w:tc>
          <w:tcPr>
            <w:tcW w:w="70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F70A41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w:t>
            </w:r>
          </w:p>
        </w:tc>
        <w:tc>
          <w:tcPr>
            <w:tcW w:w="4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78058B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212</w:t>
            </w:r>
          </w:p>
        </w:tc>
        <w:tc>
          <w:tcPr>
            <w:tcW w:w="84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0317CC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61.45</w:t>
            </w:r>
          </w:p>
        </w:tc>
      </w:tr>
      <w:tr w14:paraId="320CC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C7234F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12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29A8D9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400</w:t>
            </w:r>
          </w:p>
        </w:tc>
        <w:tc>
          <w:tcPr>
            <w:tcW w:w="4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577CFF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345</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378C11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86.25</w:t>
            </w:r>
          </w:p>
        </w:tc>
        <w:tc>
          <w:tcPr>
            <w:tcW w:w="4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434892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15</w:t>
            </w:r>
          </w:p>
        </w:tc>
        <w:tc>
          <w:tcPr>
            <w:tcW w:w="70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5FC628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3.75</w:t>
            </w:r>
          </w:p>
        </w:tc>
        <w:tc>
          <w:tcPr>
            <w:tcW w:w="4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3ABA1A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208</w:t>
            </w:r>
          </w:p>
        </w:tc>
        <w:tc>
          <w:tcPr>
            <w:tcW w:w="84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9B3FAD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60.29</w:t>
            </w:r>
          </w:p>
        </w:tc>
      </w:tr>
      <w:tr w14:paraId="1B667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A45271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年度</w:t>
            </w:r>
          </w:p>
        </w:tc>
        <w:tc>
          <w:tcPr>
            <w:tcW w:w="2396" w:type="pct"/>
            <w:gridSpan w:val="4"/>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C97C2B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高级职称</w:t>
            </w:r>
          </w:p>
        </w:tc>
        <w:tc>
          <w:tcPr>
            <w:tcW w:w="2181" w:type="pct"/>
            <w:gridSpan w:val="5"/>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22DDFA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硕士及以上学位</w:t>
            </w:r>
          </w:p>
        </w:tc>
      </w:tr>
      <w:tr w14:paraId="4E4FE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EDC552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2396" w:type="pct"/>
            <w:gridSpan w:val="4"/>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F48481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126" w:type="pct"/>
            <w:gridSpan w:val="3"/>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D0AE43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数量</w:t>
            </w:r>
          </w:p>
        </w:tc>
        <w:tc>
          <w:tcPr>
            <w:tcW w:w="1054"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C94FE6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比例</w:t>
            </w:r>
          </w:p>
        </w:tc>
      </w:tr>
      <w:tr w14:paraId="1FC52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A02362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2022</w:t>
            </w:r>
          </w:p>
        </w:tc>
        <w:tc>
          <w:tcPr>
            <w:tcW w:w="2396" w:type="pct"/>
            <w:gridSpan w:val="4"/>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E710F2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89</w:t>
            </w:r>
          </w:p>
        </w:tc>
        <w:tc>
          <w:tcPr>
            <w:tcW w:w="1126" w:type="pct"/>
            <w:gridSpan w:val="3"/>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394652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44</w:t>
            </w:r>
          </w:p>
        </w:tc>
        <w:tc>
          <w:tcPr>
            <w:tcW w:w="1054"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4346EC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12.36</w:t>
            </w:r>
          </w:p>
        </w:tc>
      </w:tr>
      <w:tr w14:paraId="412C6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A575ED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2396" w:type="pct"/>
            <w:gridSpan w:val="4"/>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B4C53C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85</w:t>
            </w:r>
          </w:p>
        </w:tc>
        <w:tc>
          <w:tcPr>
            <w:tcW w:w="1126" w:type="pct"/>
            <w:gridSpan w:val="3"/>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9F7EB7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49</w:t>
            </w:r>
          </w:p>
        </w:tc>
        <w:tc>
          <w:tcPr>
            <w:tcW w:w="1054"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903C78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14.2</w:t>
            </w:r>
          </w:p>
        </w:tc>
      </w:tr>
      <w:tr w14:paraId="0CB97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2"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475F6D4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2396" w:type="pct"/>
            <w:gridSpan w:val="4"/>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03CD3F6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82</w:t>
            </w:r>
          </w:p>
        </w:tc>
        <w:tc>
          <w:tcPr>
            <w:tcW w:w="1126" w:type="pct"/>
            <w:gridSpan w:val="3"/>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6B5CE99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43</w:t>
            </w:r>
          </w:p>
        </w:tc>
        <w:tc>
          <w:tcPr>
            <w:tcW w:w="1054" w:type="pct"/>
            <w:gridSpan w:val="2"/>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7ED0266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12.5</w:t>
            </w:r>
          </w:p>
        </w:tc>
      </w:tr>
    </w:tbl>
    <w:p w14:paraId="3C4C119B">
      <w:pPr>
        <w:pStyle w:val="3"/>
        <w:keepNext w:val="0"/>
        <w:keepLines w:val="0"/>
        <w:pageBreakBefore w:val="0"/>
        <w:widowControl w:val="0"/>
        <w:kinsoku/>
        <w:wordWrap/>
        <w:overflowPunct/>
        <w:topLinePunct w:val="0"/>
        <w:autoSpaceDE/>
        <w:autoSpaceDN/>
        <w:bidi w:val="0"/>
        <w:spacing w:line="600" w:lineRule="exact"/>
        <w:textAlignment w:val="auto"/>
      </w:pPr>
      <w:bookmarkStart w:id="67" w:name="_Toc27221"/>
      <w:bookmarkStart w:id="68" w:name="_Toc705"/>
      <w:bookmarkStart w:id="69" w:name="_Toc939"/>
      <w:r>
        <w:rPr>
          <w:rFonts w:hint="eastAsia"/>
        </w:rPr>
        <w:t>1.</w:t>
      </w:r>
      <w:r>
        <w:rPr>
          <w:rFonts w:hint="eastAsia"/>
          <w:lang w:val="en-US" w:eastAsia="zh-CN"/>
        </w:rPr>
        <w:t>5</w:t>
      </w:r>
      <w:r>
        <w:rPr>
          <w:rFonts w:hint="eastAsia"/>
        </w:rPr>
        <w:t>办学条件</w:t>
      </w:r>
      <w:bookmarkEnd w:id="43"/>
      <w:bookmarkEnd w:id="67"/>
      <w:bookmarkEnd w:id="68"/>
      <w:bookmarkEnd w:id="69"/>
    </w:p>
    <w:p w14:paraId="28ACA97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2024年南岸区委属公办中职学校校园占地面积213935.69平方米，生均用地面积34.97平方米，校舍建筑面积129902.2平方米，生均校舍建筑面积21.24平方米，教学仪器设备总值10924.38万元，生均仪器设备值17432元。专任教师数345人，师生比1：16，生均图书32册。</w:t>
      </w:r>
    </w:p>
    <w:p w14:paraId="47A25D85">
      <w:pPr>
        <w:pStyle w:val="2"/>
        <w:keepNext w:val="0"/>
        <w:keepLines w:val="0"/>
        <w:pageBreakBefore w:val="0"/>
        <w:widowControl w:val="0"/>
        <w:kinsoku/>
        <w:wordWrap/>
        <w:overflowPunct/>
        <w:topLinePunct w:val="0"/>
        <w:autoSpaceDE/>
        <w:autoSpaceDN/>
        <w:bidi w:val="0"/>
        <w:spacing w:line="600" w:lineRule="exact"/>
        <w:textAlignment w:val="auto"/>
      </w:pPr>
      <w:bookmarkStart w:id="70" w:name="_Toc6696"/>
      <w:bookmarkStart w:id="71" w:name="_Toc31997"/>
      <w:bookmarkStart w:id="72" w:name="_Toc32410"/>
      <w:bookmarkStart w:id="73" w:name="_Toc30842"/>
      <w:bookmarkStart w:id="74" w:name="_Toc28745"/>
      <w:bookmarkStart w:id="75" w:name="_Toc3699"/>
      <w:r>
        <w:rPr>
          <w:rFonts w:hint="eastAsia"/>
        </w:rPr>
        <w:t>2.人才培养</w:t>
      </w:r>
      <w:bookmarkEnd w:id="70"/>
      <w:bookmarkEnd w:id="71"/>
      <w:bookmarkEnd w:id="72"/>
      <w:bookmarkEnd w:id="73"/>
      <w:bookmarkEnd w:id="74"/>
      <w:bookmarkEnd w:id="75"/>
    </w:p>
    <w:p w14:paraId="75B80737">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76" w:name="_Toc9011"/>
      <w:bookmarkStart w:id="77" w:name="_Toc32096"/>
      <w:bookmarkStart w:id="78" w:name="_Toc17211"/>
      <w:bookmarkStart w:id="79" w:name="_Toc19336"/>
      <w:r>
        <w:rPr>
          <w:rFonts w:hint="eastAsia"/>
          <w:lang w:val="en-US" w:eastAsia="zh-CN"/>
        </w:rPr>
        <w:t>2.1立德树人</w:t>
      </w:r>
      <w:bookmarkEnd w:id="76"/>
      <w:bookmarkEnd w:id="77"/>
      <w:bookmarkEnd w:id="78"/>
    </w:p>
    <w:p w14:paraId="00F47944">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80" w:name="_Toc19498"/>
      <w:bookmarkStart w:id="81" w:name="_Toc7422"/>
      <w:bookmarkStart w:id="82" w:name="_Toc11294"/>
      <w:r>
        <w:rPr>
          <w:rFonts w:hint="eastAsia"/>
          <w:lang w:val="en-US" w:eastAsia="zh-CN"/>
        </w:rPr>
        <w:t>2.1.1落实立德树人根本任务的具体举措</w:t>
      </w:r>
      <w:bookmarkEnd w:id="80"/>
      <w:bookmarkEnd w:id="81"/>
      <w:bookmarkEnd w:id="82"/>
    </w:p>
    <w:p w14:paraId="40941AD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全面贯彻落实党委领导下的校长负责制，将“为党育人、为国育才”的理念贯穿于教育教学全过程。学校党委书记、校长亲自带头讲党课、团课，讲好“新生第一课”和“开学第一课”，并围绕师德师风建设、学生心理健康等专题开展辅导报告和座谈交流。利用国旗台、主题班团会、校园文化建设、活动展演等形式传承中华优秀传统文化、弘扬革命文化，把社会主义先进文化带进校园、带进课堂；与重庆红岩联线文化发展管理中心合作，开展红色教育活动，组织红岩志愿服务团活动。此外，学校还注重课程思政建设，将思想政治教育融入专业课程中，构建“思政+”融合育人新样态。时代新人铸魂工程深入实施，思政课建设全面加强。</w:t>
      </w:r>
    </w:p>
    <w:p w14:paraId="1E3A96EE">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83" w:name="_Toc23417"/>
      <w:bookmarkStart w:id="84" w:name="_Toc10438"/>
      <w:bookmarkStart w:id="85" w:name="_Toc29024"/>
      <w:r>
        <w:rPr>
          <w:rFonts w:hint="eastAsia"/>
          <w:lang w:val="en-US" w:eastAsia="zh-CN"/>
        </w:rPr>
        <w:t>2.1.2思想政治工作的经验做法及特色亮点</w:t>
      </w:r>
      <w:bookmarkEnd w:id="83"/>
      <w:bookmarkEnd w:id="84"/>
      <w:bookmarkEnd w:id="85"/>
    </w:p>
    <w:p w14:paraId="650554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坚持以习近平新时代中国特色社会主义思想为指导，聚焦立德树人根本任务，秉承精志精技精业的“三精文化”内核，将思想政治工作融入中职学校办学治校全过程，大力推进新时代中职学校思想政治工作改革；以学生为中心构建“同心圆”大思政格局，建设课程思政教学研究中心，设立实践教学基地，推出优质教学资源，做优品牌示范活动，推动思政小课堂与社会大课堂相结合，促进各类课程与思政课同向同行。</w:t>
      </w:r>
    </w:p>
    <w:p w14:paraId="2E917B06">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86" w:name="_Toc18837"/>
      <w:bookmarkStart w:id="87" w:name="_Toc3948"/>
      <w:bookmarkStart w:id="88" w:name="_Toc12837"/>
      <w:r>
        <w:rPr>
          <w:rFonts w:hint="eastAsia"/>
          <w:lang w:val="en-US" w:eastAsia="zh-CN"/>
        </w:rPr>
        <w:t>2.1.3思想政治理论课开设及教改情况</w:t>
      </w:r>
      <w:bookmarkEnd w:id="86"/>
      <w:bookmarkEnd w:id="87"/>
      <w:bookmarkEnd w:id="88"/>
    </w:p>
    <w:p w14:paraId="2FC350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严格按照上级要求，使用教育部统编新教材，开足开齐思政课，高一开设《中国特色社会主义》《心理健康与职业生涯》高二开设《哲学与人生》《职业道德与法治》，生均一本《习近平新时代中国特色社会主义思想学生读本》。根据课程内容需要引入部分数字化教学资源，例如：智慧职教、学习强国、数字图书馆、央视频等，作为课程内容补充，提升教学效果与学生学习体验。南岸区通过以赛促培，鼓励中职学校教师参加各级各类教学技能比赛，培养示范教学团队，打磨精品课，以团队建设带动学科建设；以教促研，指导学校开展公开示范课，组织教师听评课；以研促教，鼓励学校申报科研课题，以科研促进思政课改革创新。在课程建设中，通过充分挖掘思政课程育人作用，以核心素养为导向，依托职业教育背景，将行业文化、职业道德等元素融入思政课程，打造职业特色突出，职业导向鲜明的职教思想政治课。中职学校教师获得2024年重庆市职业院校思想政治教学能力比赛三等奖，思想政治课《认识自我》获得南岸区大思政金课设计比赛二等奖。</w:t>
      </w:r>
    </w:p>
    <w:p w14:paraId="0D0C4938">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89" w:name="_Toc13238"/>
      <w:bookmarkStart w:id="90" w:name="_Toc28000"/>
      <w:bookmarkStart w:id="91" w:name="_Toc1876"/>
      <w:r>
        <w:rPr>
          <w:rFonts w:hint="eastAsia"/>
          <w:lang w:val="en-US" w:eastAsia="zh-CN"/>
        </w:rPr>
        <w:t>2.1.4思政课师资队伍建设</w:t>
      </w:r>
      <w:bookmarkEnd w:id="89"/>
      <w:bookmarkEnd w:id="90"/>
      <w:bookmarkEnd w:id="91"/>
    </w:p>
    <w:p w14:paraId="5EF48D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大力弘扬教育家精神，通过讲座、教师节活动、平台多路径宣传优秀教师典型事迹，激励广大思政课教师队伍和班主任队伍以模范教育家为榜样，努力做“经师”和“人师”相统一的“大先生”；加强师德师风建设，全面落实新时代教师职业行为准则，将师德表现作为教师评价和管理的首要要求，坚持师德违规行为“零容忍”；加强思政教师培训，鼓励思政课教师参加各级各类培训，按时参加国家级、市、区级教研活动，定期开展教研交流会，研讨课程标准学习，培训学习分享、集体备课、听评课等，切实推动立德树人工作提质增效。</w:t>
      </w:r>
    </w:p>
    <w:p w14:paraId="5C33380B">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92" w:name="_Toc7430"/>
      <w:bookmarkStart w:id="93" w:name="_Toc3479"/>
      <w:bookmarkStart w:id="94" w:name="_Toc18381"/>
      <w:r>
        <w:rPr>
          <w:rFonts w:hint="eastAsia"/>
          <w:lang w:val="en-US" w:eastAsia="zh-CN"/>
        </w:rPr>
        <w:t>2.1.5课程思政示范课建设</w:t>
      </w:r>
      <w:bookmarkEnd w:id="92"/>
      <w:bookmarkEnd w:id="93"/>
      <w:bookmarkEnd w:id="94"/>
    </w:p>
    <w:p w14:paraId="31076A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方正仿宋_GBK" w:hAnsi="Times New Roman" w:eastAsia="方正仿宋_GBK"/>
          <w:sz w:val="32"/>
          <w:szCs w:val="32"/>
          <w:lang w:val="en-US" w:eastAsia="zh-CN"/>
        </w:rPr>
        <w:t>南</w:t>
      </w:r>
      <w:r>
        <w:rPr>
          <w:rFonts w:hint="eastAsia" w:ascii="Times New Roman" w:hAnsi="Times New Roman" w:eastAsia="方正仿宋_GBK" w:cs="Times New Roman"/>
          <w:color w:val="auto"/>
          <w:sz w:val="32"/>
          <w:szCs w:val="32"/>
          <w:lang w:val="en-US" w:eastAsia="zh-CN"/>
        </w:rPr>
        <w:t>岸区成立课程思政教学研究中心，推动文化课、专业课课程思政系统化建设。通过培训、观摩、团队建设，浸润课程思政意识，利用“思政+”的理念撬动各学科课堂的教学转变，通过比赛锻炼，打磨中职数学、老年人康乐活动设计两门课程思政示范学科，结题“服务乡村振兴的“双导师三课堂五循环”项目驱动式教学改革实践―以中职电商专业《新媒体营销》课程为例”“基于数字化转型赋能的计算机网络基础‘双驱动、四融合’课堂教学改革实践”两个重庆市职业教育课堂革命典型案例，出版《劳动教育》《职业体验》等多部具有课程思政元素的教材等，充实中职学校课程思政示范课建设成果。</w:t>
      </w:r>
    </w:p>
    <w:p w14:paraId="7D2E9912">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95" w:name="_Toc30359"/>
      <w:bookmarkStart w:id="96" w:name="_Toc10799"/>
      <w:bookmarkStart w:id="97" w:name="_Toc7245"/>
      <w:r>
        <w:rPr>
          <w:rFonts w:hint="eastAsia"/>
          <w:lang w:val="en-US" w:eastAsia="zh-CN"/>
        </w:rPr>
        <w:t>2.1.6将“四史”融入思政课教学的创新举措</w:t>
      </w:r>
      <w:bookmarkEnd w:id="95"/>
      <w:bookmarkEnd w:id="96"/>
      <w:bookmarkEnd w:id="97"/>
    </w:p>
    <w:p w14:paraId="0EEA61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Times New Roman" w:eastAsia="方正仿宋_GBK"/>
          <w:color w:val="auto"/>
          <w:sz w:val="32"/>
          <w:szCs w:val="32"/>
        </w:rPr>
      </w:pPr>
      <w:r>
        <w:rPr>
          <w:rFonts w:hint="eastAsia" w:ascii="方正仿宋_GBK" w:hAnsi="Times New Roman" w:eastAsia="方正仿宋_GBK"/>
          <w:color w:val="auto"/>
          <w:sz w:val="32"/>
          <w:szCs w:val="32"/>
          <w:lang w:val="en-US" w:eastAsia="zh-CN"/>
        </w:rPr>
        <w:t>南岸区</w:t>
      </w:r>
      <w:r>
        <w:rPr>
          <w:rFonts w:hint="eastAsia" w:ascii="方正仿宋_GBK" w:hAnsi="Times New Roman" w:eastAsia="方正仿宋_GBK"/>
          <w:color w:val="auto"/>
          <w:sz w:val="32"/>
          <w:szCs w:val="32"/>
        </w:rPr>
        <w:t>构建“一二三四五”红岩思政育人新模式：学校打造了“红岩思政”经典案例，通过“一讲二动三熏陶”的创新文化融入模式，利用讲座、活动、文化熏陶的形式保障红色文化主导学校校园文化。四大阵地建设：学校以半月谈</w:t>
      </w:r>
      <w:r>
        <w:rPr>
          <w:rFonts w:hint="eastAsia" w:ascii="宋体" w:hAnsi="宋体" w:cs="宋体"/>
          <w:color w:val="auto"/>
          <w:sz w:val="32"/>
          <w:szCs w:val="32"/>
        </w:rPr>
        <w:t>•</w:t>
      </w:r>
      <w:r>
        <w:rPr>
          <w:rFonts w:hint="eastAsia" w:ascii="方正仿宋_GBK" w:hAnsi="方正仿宋_GBK" w:eastAsia="方正仿宋_GBK" w:cs="方正仿宋_GBK"/>
          <w:color w:val="auto"/>
          <w:sz w:val="32"/>
          <w:szCs w:val="32"/>
        </w:rPr>
        <w:t>基层党建融媒体学习站、红岩革命基地、国旗台、团课为阵地，精耕课程育心，实现课程思政模式改革与创新。设计了红岩精神专题课程和青春第二课堂，通过讲述红岩英烈的事迹、深入解读红岩精神的价值，引导学生深刻理解其精神实质。</w:t>
      </w:r>
      <w:r>
        <w:rPr>
          <w:rFonts w:hint="eastAsia" w:ascii="方正仿宋_GBK" w:hAnsi="Times New Roman" w:eastAsia="方正仿宋_GBK"/>
          <w:color w:val="auto"/>
          <w:sz w:val="32"/>
          <w:szCs w:val="32"/>
        </w:rPr>
        <w:t>在思政课堂中大力推进“龙门论道”“同课异构”“案例导引”等创新教法，提升学生对思政课的接受度、参与率、满意感。开展“职业素养养成教育”“龙职青年说”“四史天天学周周讲”等活动，组织“红岩先烈革命故事展演”等励志实践活动，引领学生志向高远。</w:t>
      </w:r>
    </w:p>
    <w:p w14:paraId="23698473">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98" w:name="_Toc13019"/>
      <w:bookmarkStart w:id="99" w:name="_Toc7988"/>
      <w:bookmarkStart w:id="100" w:name="_Toc9943"/>
      <w:r>
        <w:rPr>
          <w:rFonts w:hint="eastAsia"/>
          <w:lang w:val="en-US" w:eastAsia="zh-CN"/>
        </w:rPr>
        <w:t>2.1.7“三全”育人</w:t>
      </w:r>
      <w:bookmarkEnd w:id="98"/>
      <w:bookmarkEnd w:id="99"/>
      <w:bookmarkEnd w:id="100"/>
    </w:p>
    <w:p w14:paraId="79EE0AD1">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充分调动各类人员的教育功能，以全员育人联动全过程、全方位育人。由中职学校党委书记带头讲党课团课，讲好“新生第一课”和“开学第一课”，党委班子成员、党支部书记围绕师德师风建设、学生心理健康、职业道德规范等专题开展辅导报告、座谈交流，有效发挥育人示范引领作用。思政教师、心理健康教师主体主动育人，立足本职岗位育人的积极性、主动性和创造性，共同当好学生人生“拔节孕穗期”的引路人，立德树人的“大先生”。班主任、学科教师通过协同班级管理，当好守护者与引导者。全体干部教职工，以行为师范、教育引导等方式，履行“人人都是德育工作者”的职责。</w:t>
      </w:r>
    </w:p>
    <w:p w14:paraId="219E2C46">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01" w:name="_Toc1569"/>
      <w:bookmarkStart w:id="102" w:name="_Toc29072"/>
      <w:bookmarkStart w:id="103" w:name="_Toc30945"/>
      <w:r>
        <w:rPr>
          <w:rFonts w:hint="eastAsia"/>
          <w:lang w:val="en-US" w:eastAsia="zh-CN"/>
        </w:rPr>
        <w:t>2.1.8“大思政课”建设</w:t>
      </w:r>
      <w:bookmarkEnd w:id="101"/>
      <w:bookmarkEnd w:id="102"/>
      <w:bookmarkEnd w:id="103"/>
    </w:p>
    <w:p w14:paraId="6325F3D0">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按照教材贯通、教学融通、队伍打通、资源互通的大思政建设思路，构建“精职达业”的大思政课程体系。辖区中职学校在2024年重庆市“大思政”优质班会课比赛中获一等奖；在上海群星职业技术学校举办的第五届长三角职业教育一体化协同发展论坛和“东西联动五地协同”服务长江经济带职业教育协同发展研讨会上，作题为“推动龙门思政，聚焦立德树人——三维立体‘大思政’中职协同育人实践的”的课程思政案例交流；“一二三四五”红岩思政育人新模式的经验做法，入选2024年重庆市红岩思政育人品牌建设典型案例。</w:t>
      </w:r>
    </w:p>
    <w:p w14:paraId="2F0F36FD">
      <w:pPr>
        <w:pStyle w:val="38"/>
        <w:bidi w:val="0"/>
        <w:rPr>
          <w:rFonts w:hint="eastAsia"/>
          <w:lang w:val="en-US" w:eastAsia="zh-CN"/>
        </w:rPr>
      </w:pPr>
      <w:bookmarkStart w:id="104" w:name="_Toc15929"/>
      <w:r>
        <w:rPr>
          <w:rFonts w:hint="eastAsia"/>
          <w:lang w:val="en-US" w:eastAsia="zh-CN"/>
        </w:rPr>
        <w:t>表4 教学资源表</w:t>
      </w:r>
      <w:bookmarkEnd w:id="104"/>
    </w:p>
    <w:tbl>
      <w:tblPr>
        <w:tblStyle w:val="31"/>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8"/>
        <w:gridCol w:w="1201"/>
        <w:gridCol w:w="1448"/>
        <w:gridCol w:w="2575"/>
        <w:gridCol w:w="2970"/>
      </w:tblGrid>
      <w:tr w14:paraId="41D0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tblHeader/>
          <w:jc w:val="center"/>
        </w:trPr>
        <w:tc>
          <w:tcPr>
            <w:tcW w:w="382"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58A7D078">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序号</w:t>
            </w:r>
          </w:p>
        </w:tc>
        <w:tc>
          <w:tcPr>
            <w:tcW w:w="1493"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36B409CB">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指标</w:t>
            </w:r>
          </w:p>
        </w:tc>
        <w:tc>
          <w:tcPr>
            <w:tcW w:w="1451"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4B07DA31">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单位</w:t>
            </w:r>
          </w:p>
        </w:tc>
        <w:tc>
          <w:tcPr>
            <w:tcW w:w="1671"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tcBorders>
            <w:shd w:val="clear" w:color="auto" w:fill="4874CB" w:themeFill="accent1"/>
            <w:vAlign w:val="center"/>
          </w:tcPr>
          <w:p w14:paraId="32BD1B0F">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2024年</w:t>
            </w:r>
          </w:p>
        </w:tc>
      </w:tr>
      <w:tr w14:paraId="2D44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57B4DC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c>
          <w:tcPr>
            <w:tcW w:w="1493" w:type="pct"/>
            <w:gridSpan w:val="2"/>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75021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生师比*</w:t>
            </w:r>
          </w:p>
        </w:tc>
        <w:tc>
          <w:tcPr>
            <w:tcW w:w="145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0B64AE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w:t>
            </w:r>
          </w:p>
        </w:tc>
        <w:tc>
          <w:tcPr>
            <w:tcW w:w="1671"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9F9215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16</w:t>
            </w:r>
          </w:p>
        </w:tc>
      </w:tr>
      <w:tr w14:paraId="08EC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3FFC78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7430EE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“双师型”教师比例</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6FBA14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9C12AE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60.29</w:t>
            </w:r>
          </w:p>
        </w:tc>
      </w:tr>
      <w:tr w14:paraId="4EF0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2AAF3C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052F10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*其中：高级“双师型”教师比例</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F3B9B1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4D6504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13.7</w:t>
            </w:r>
          </w:p>
        </w:tc>
      </w:tr>
      <w:tr w14:paraId="280F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8CEEFA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75C268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高级专业技术职务专任教师比例</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9DE5B6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8ECD97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24</w:t>
            </w:r>
          </w:p>
        </w:tc>
      </w:tr>
      <w:tr w14:paraId="33DA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B3829A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8D0B14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专业群数量*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FB91EE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5D7E3E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r>
      <w:tr w14:paraId="242A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96A502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A9A4A9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专业数量*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2F32E4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D4B18E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 xml:space="preserve"> 32</w:t>
            </w:r>
          </w:p>
        </w:tc>
      </w:tr>
      <w:tr w14:paraId="4F4D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0A15AC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w:t>
            </w:r>
          </w:p>
        </w:tc>
        <w:tc>
          <w:tcPr>
            <w:tcW w:w="1493" w:type="pct"/>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25FDD5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教学计划内课程总数*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4BDFFE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3CD5E94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155</w:t>
            </w:r>
          </w:p>
        </w:tc>
      </w:tr>
      <w:tr w14:paraId="50E3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2563D8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72DEB9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A9753C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学时</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3C149EA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3558</w:t>
            </w:r>
          </w:p>
        </w:tc>
      </w:tr>
      <w:tr w14:paraId="1625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744089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EE3669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其中：课证融通课程数*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89DD35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B10528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14</w:t>
            </w:r>
          </w:p>
        </w:tc>
      </w:tr>
      <w:tr w14:paraId="5EF0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4ADE47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8CB349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C6378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学时</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6B3E4B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1524</w:t>
            </w:r>
          </w:p>
        </w:tc>
      </w:tr>
      <w:tr w14:paraId="7192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9C4F7A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E14C17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网络教学课程数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F0025C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7FC5D2F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r>
      <w:tr w14:paraId="7307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832100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A75DDD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070B0B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学时</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0BCBE9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975</w:t>
            </w:r>
          </w:p>
        </w:tc>
      </w:tr>
      <w:tr w14:paraId="770E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C2DCE1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02D09B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校企合作课程数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3A21F9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BB338B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w:t>
            </w:r>
          </w:p>
        </w:tc>
      </w:tr>
      <w:tr w14:paraId="3D9A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F6829C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D33E59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0E6900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学时</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1B65AF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288</w:t>
            </w:r>
          </w:p>
        </w:tc>
      </w:tr>
      <w:tr w14:paraId="6387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7B8790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626FE3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专业教学资源库数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648C64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1F519E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w:t>
            </w:r>
          </w:p>
        </w:tc>
      </w:tr>
      <w:tr w14:paraId="3680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BAAB42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B0BE8C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其中：国家级数量*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8A087B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1BF0D0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279F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509EF5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63BB14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B3A471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CFD979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1754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FD7753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91A97E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省级数量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1D33E1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46FA3B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r>
      <w:tr w14:paraId="54E0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E30DB7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3A60B3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BD4160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664953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3F71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9E8E07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83AF20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校级数量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A968AB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21756C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w:t>
            </w:r>
          </w:p>
        </w:tc>
      </w:tr>
      <w:tr w14:paraId="4681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AF88C7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7CA269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046DC3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676043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035E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C9DDF6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w:t>
            </w:r>
          </w:p>
        </w:tc>
        <w:tc>
          <w:tcPr>
            <w:tcW w:w="1493" w:type="pct"/>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06C46E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在线精品课程数*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D14273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F6EA8A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w:t>
            </w:r>
          </w:p>
        </w:tc>
      </w:tr>
      <w:tr w14:paraId="3590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B4ED55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1A5D94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233002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学时</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6BCBF04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364</w:t>
            </w:r>
          </w:p>
        </w:tc>
      </w:tr>
      <w:tr w14:paraId="5F6E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FE8266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80A6B1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在线精品课程课均学生数*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22F8CC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人</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7715CA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2314</w:t>
            </w:r>
          </w:p>
        </w:tc>
      </w:tr>
      <w:tr w14:paraId="4089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5DB3DD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7A5E6E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其中：国家级数量*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A12AA6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EC60BD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r>
      <w:tr w14:paraId="6967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E5539B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6F331C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0FB581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01C8C4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r>
      <w:tr w14:paraId="4475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2EEC66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69C0F2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省级数量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949205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74AB5D7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w:t>
            </w:r>
          </w:p>
        </w:tc>
      </w:tr>
      <w:tr w14:paraId="3AE6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69C47A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E6B7BB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3F883E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652A0D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w:t>
            </w:r>
          </w:p>
        </w:tc>
      </w:tr>
      <w:tr w14:paraId="70DC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2E48BE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D01D72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校级数量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49BFD3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9B2D85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r>
      <w:tr w14:paraId="43CB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46F16E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6D99DA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813A94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门</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5F7A05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3A7C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E188E3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321DCA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虚拟仿真实训基地数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5EB046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7C8F574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r>
      <w:tr w14:paraId="630A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2D1521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D8EF38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其中：国家级数量*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36FA20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99E3A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0088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882AF6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3C316F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09B77E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83872A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6B19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5B64BD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643678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省级数量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3E1744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82D81F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6264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B2BAC6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E0EBA5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7B2E6C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4BBF8D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7219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EF5A95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832388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校级数量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9A3DE9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C24EEF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r>
      <w:tr w14:paraId="2146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2B9B1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B97EA4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68F8BA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22CB94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27F6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6B00A6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6A11D7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编写教材数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EB25FE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本</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F61AD8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w:t>
            </w:r>
          </w:p>
        </w:tc>
      </w:tr>
      <w:tr w14:paraId="6FA4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794B89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BCC1A1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其中：国家规划教材数量*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7EF2C7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本</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A31519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r>
      <w:tr w14:paraId="402E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378666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2D18B4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校企合作编写教材数量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EA8679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本</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7FAE71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w:t>
            </w:r>
          </w:p>
        </w:tc>
      </w:tr>
      <w:tr w14:paraId="75AF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A56AFE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56E0A0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新形态教材数量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49F474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本</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6243EF4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w:t>
            </w:r>
          </w:p>
        </w:tc>
      </w:tr>
      <w:tr w14:paraId="6D30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B707AF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4727A8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接入国家智慧教育平台数量*</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AB97B6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本</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F00598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r>
      <w:tr w14:paraId="5186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71D2DB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A8BBD8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互联网出口带宽*</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7C538F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Mbps</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3D6AB14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500</w:t>
            </w:r>
          </w:p>
        </w:tc>
      </w:tr>
      <w:tr w14:paraId="5406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9BB6E4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CC1653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校园网主干最大带宽*</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AB89BE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Mbps</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B37CFD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10000</w:t>
            </w:r>
          </w:p>
        </w:tc>
      </w:tr>
      <w:tr w14:paraId="4C9C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E05D4E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12</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6BCB86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生均校内实践教学工位数*</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70BBC5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个/生</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E727D2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0.98</w:t>
            </w:r>
          </w:p>
        </w:tc>
      </w:tr>
      <w:tr w14:paraId="204C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7C3491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13</w:t>
            </w:r>
          </w:p>
        </w:tc>
        <w:tc>
          <w:tcPr>
            <w:tcW w:w="149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52E20E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生均教学科研仪器设备值*</w:t>
            </w:r>
          </w:p>
        </w:tc>
        <w:tc>
          <w:tcPr>
            <w:tcW w:w="1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97A742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元/生</w:t>
            </w:r>
          </w:p>
        </w:tc>
        <w:tc>
          <w:tcPr>
            <w:tcW w:w="1671"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750B79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17432</w:t>
            </w:r>
          </w:p>
        </w:tc>
      </w:tr>
      <w:tr w14:paraId="39FA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000" w:type="pct"/>
            <w:gridSpan w:val="5"/>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06E3C7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说明：请逐一列出学校专业群及核心专业，并选择对接产业链</w:t>
            </w:r>
          </w:p>
        </w:tc>
      </w:tr>
      <w:tr w14:paraId="48AC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C3FFE9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6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39EDFA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专业群名称</w:t>
            </w:r>
          </w:p>
        </w:tc>
        <w:tc>
          <w:tcPr>
            <w:tcW w:w="81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14E47F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核心专业</w:t>
            </w:r>
          </w:p>
        </w:tc>
        <w:tc>
          <w:tcPr>
            <w:tcW w:w="31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A85923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选择对接产业链</w:t>
            </w:r>
          </w:p>
        </w:tc>
      </w:tr>
      <w:tr w14:paraId="7F9B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F42EED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c>
          <w:tcPr>
            <w:tcW w:w="6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tcMar>
              <w:top w:w="57" w:type="dxa"/>
              <w:left w:w="57" w:type="dxa"/>
              <w:bottom w:w="57" w:type="dxa"/>
              <w:right w:w="57" w:type="dxa"/>
            </w:tcMar>
            <w:vAlign w:val="center"/>
          </w:tcPr>
          <w:p w14:paraId="1B6DB07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智能制造专业群</w:t>
            </w:r>
          </w:p>
        </w:tc>
        <w:tc>
          <w:tcPr>
            <w:tcW w:w="81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tcMar>
              <w:top w:w="57" w:type="dxa"/>
              <w:left w:w="57" w:type="dxa"/>
              <w:bottom w:w="57" w:type="dxa"/>
              <w:right w:w="57" w:type="dxa"/>
            </w:tcMar>
            <w:vAlign w:val="center"/>
          </w:tcPr>
          <w:p w14:paraId="02C370B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数控技术应用、电子信息技术</w:t>
            </w:r>
          </w:p>
        </w:tc>
        <w:tc>
          <w:tcPr>
            <w:tcW w:w="3123"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Mar>
              <w:top w:w="57" w:type="dxa"/>
              <w:left w:w="57" w:type="dxa"/>
              <w:bottom w:w="57" w:type="dxa"/>
              <w:right w:w="57" w:type="dxa"/>
            </w:tcMar>
            <w:vAlign w:val="center"/>
          </w:tcPr>
          <w:p w14:paraId="55D7F83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加工制造产业链及电子信息产业链</w:t>
            </w:r>
          </w:p>
        </w:tc>
      </w:tr>
      <w:tr w14:paraId="09B9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382"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vAlign w:val="center"/>
          </w:tcPr>
          <w:p w14:paraId="41FB337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c>
          <w:tcPr>
            <w:tcW w:w="677"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tcMar>
              <w:top w:w="57" w:type="dxa"/>
              <w:left w:w="57" w:type="dxa"/>
              <w:bottom w:w="57" w:type="dxa"/>
              <w:right w:w="57" w:type="dxa"/>
            </w:tcMar>
            <w:vAlign w:val="center"/>
          </w:tcPr>
          <w:p w14:paraId="62F935D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现代信息技术专业群</w:t>
            </w:r>
          </w:p>
        </w:tc>
        <w:tc>
          <w:tcPr>
            <w:tcW w:w="81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tcMar>
              <w:top w:w="57" w:type="dxa"/>
              <w:left w:w="57" w:type="dxa"/>
              <w:bottom w:w="57" w:type="dxa"/>
              <w:right w:w="57" w:type="dxa"/>
            </w:tcMar>
            <w:vAlign w:val="center"/>
          </w:tcPr>
          <w:p w14:paraId="76FA0F7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计算机应用、数字媒体技术</w:t>
            </w:r>
          </w:p>
        </w:tc>
        <w:tc>
          <w:tcPr>
            <w:tcW w:w="3123" w:type="pct"/>
            <w:gridSpan w:val="2"/>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FFFFFF"/>
            <w:tcMar>
              <w:top w:w="57" w:type="dxa"/>
              <w:left w:w="57" w:type="dxa"/>
              <w:bottom w:w="57" w:type="dxa"/>
              <w:right w:w="57" w:type="dxa"/>
            </w:tcMar>
            <w:vAlign w:val="center"/>
          </w:tcPr>
          <w:p w14:paraId="353E41A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现代信息技术专业群对接IT信息服务、媒体制作产业链，面向计算机软件与硬件操作、办公应用、网络应用、摄影摄像、数字影音剪辑、界面设计等岗位(群)</w:t>
            </w:r>
          </w:p>
        </w:tc>
      </w:tr>
    </w:tbl>
    <w:p w14:paraId="3E5A10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2.1.9技工学校立德树人情况</w:t>
      </w:r>
    </w:p>
    <w:p w14:paraId="057B5E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一是德育为先、思想理论武装头脑</w:t>
      </w:r>
      <w:r>
        <w:rPr>
          <w:rFonts w:hint="eastAsia" w:ascii="Times New Roman" w:hAnsi="Times New Roman" w:eastAsia="方正仿宋_GBK" w:cs="Times New Roman"/>
          <w:color w:val="auto"/>
          <w:sz w:val="32"/>
          <w:szCs w:val="32"/>
          <w:lang w:val="en-US" w:eastAsia="zh-CN"/>
        </w:rPr>
        <w:t>。机电工程高级技工学校始终坚持德育为先，贯彻为党育人、为国育才的办学理念。坚持用习近平新时代中国特色社会主义思想理论体系武装师生头脑，开设思想政治课，并以《习近平新时代中国特色社会主义思想学生读本》（高中版）为教材，坚持正面教育引导人、感化人、激励人，大力提升师生的思想理论水平。学习、践行社会主义核心价值观，推动课程思政，将德育教育贯穿人才培养全过程。</w:t>
      </w:r>
      <w:r>
        <w:rPr>
          <w:rFonts w:hint="eastAsia" w:ascii="Times New Roman" w:hAnsi="Times New Roman" w:eastAsia="方正楷体_GBK" w:cs="Times New Roman"/>
          <w:color w:val="auto"/>
          <w:sz w:val="32"/>
          <w:szCs w:val="32"/>
          <w:lang w:val="en-US" w:eastAsia="zh-CN"/>
        </w:rPr>
        <w:t>二是立德树人、营造良好育人氛围。</w:t>
      </w:r>
      <w:r>
        <w:rPr>
          <w:rFonts w:hint="eastAsia" w:ascii="Times New Roman" w:hAnsi="Times New Roman" w:eastAsia="方正仿宋_GBK" w:cs="Times New Roman"/>
          <w:color w:val="auto"/>
          <w:sz w:val="32"/>
          <w:szCs w:val="32"/>
          <w:lang w:val="en-US" w:eastAsia="zh-CN"/>
        </w:rPr>
        <w:t>学校德育工作坚持树立从“学做人”抓起，通过“增强法治观念，构建和谐校园”法治讲座、“红岩先锋，美好生活，民法典相伴暨反诈进校园”普法活动、“技能：让生活更美好”职业教育活动周、“青年在行动，全民反诈进校园”等活动，开展文明礼仪教育、遵纪守法教育、行为习惯养成、工匠精神培养。通过环境育人，在校园内，用“正、善、诚、雅、靓、酷、巧、乐、文、勤”十字陶冶学生情操。学校注重开展心理健康教育，通过心理测试、心理教育、心理辅导，建立特质学生档案等方式，护全学生身心。</w:t>
      </w:r>
      <w:r>
        <w:rPr>
          <w:rFonts w:hint="eastAsia" w:ascii="Times New Roman" w:hAnsi="Times New Roman" w:eastAsia="方正楷体_GBK" w:cs="Times New Roman"/>
          <w:color w:val="auto"/>
          <w:sz w:val="32"/>
          <w:szCs w:val="32"/>
          <w:lang w:val="en-US" w:eastAsia="zh-CN"/>
        </w:rPr>
        <w:t>三是活动育人、寓教于乐润物无声。</w:t>
      </w:r>
      <w:r>
        <w:rPr>
          <w:rFonts w:hint="eastAsia" w:ascii="Times New Roman" w:hAnsi="Times New Roman" w:eastAsia="方正仿宋_GBK" w:cs="Times New Roman"/>
          <w:color w:val="auto"/>
          <w:sz w:val="32"/>
          <w:szCs w:val="32"/>
          <w:lang w:val="en-US" w:eastAsia="zh-CN"/>
        </w:rPr>
        <w:t>学校将第一课堂和第二课堂教育特点相结合，开设劳动课，每周三下午固定为劳动教育必修课和公益活动，通过劳动培育学生的品格。校团委学生会活动丰富多彩，通过组织艺术团、棋艺社、足球队、篮球社等15个社团，丰富了学生的课余文化生活，通过寓教于乐，培育社会主义新人。通过开展艺术活动节、职业教育活动周、运动会等大型活动，丰富校园文化活动。开展“自我教育、自我管理、自我服务”教育活动，成立专门的护校队，学生自我服务、自我管理，将德育活动细化在各个环节和细节之处。</w:t>
      </w:r>
      <w:r>
        <w:rPr>
          <w:rFonts w:hint="eastAsia" w:ascii="Times New Roman" w:hAnsi="Times New Roman" w:eastAsia="方正楷体_GBK" w:cs="Times New Roman"/>
          <w:color w:val="auto"/>
          <w:sz w:val="32"/>
          <w:szCs w:val="32"/>
          <w:lang w:val="en-US" w:eastAsia="zh-CN"/>
        </w:rPr>
        <w:t>四是校本特色、“330”行动显效果。</w:t>
      </w:r>
      <w:r>
        <w:rPr>
          <w:rFonts w:hint="eastAsia" w:ascii="Times New Roman" w:hAnsi="Times New Roman" w:eastAsia="方正仿宋_GBK" w:cs="Times New Roman"/>
          <w:color w:val="auto"/>
          <w:sz w:val="32"/>
          <w:szCs w:val="32"/>
          <w:lang w:val="en-US" w:eastAsia="zh-CN"/>
        </w:rPr>
        <w:t>学校结合自身特点，开展了具有校本特色的立德树人活动项目——“330”行动。即每天坚持“30分钟阅读、30分钟习字、30分钟唱歌”，让学生在读、习、唱中感悟中国传统文化，传承中华优秀文明，开展项目以来，活动效果初步显现。</w:t>
      </w:r>
    </w:p>
    <w:p w14:paraId="3CD277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2.1.10特教中心立德树人情况</w:t>
      </w:r>
    </w:p>
    <w:p w14:paraId="093842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特教中心深入贯彻落实立德树人根本任务。</w:t>
      </w:r>
      <w:r>
        <w:rPr>
          <w:rFonts w:hint="eastAsia" w:ascii="Times New Roman" w:hAnsi="Times New Roman" w:eastAsia="方正楷体_GBK" w:cs="Times New Roman"/>
          <w:color w:val="auto"/>
          <w:sz w:val="32"/>
          <w:szCs w:val="32"/>
          <w:lang w:val="en-US" w:eastAsia="zh-CN"/>
        </w:rPr>
        <w:t>一是注重课程育人。</w:t>
      </w:r>
      <w:r>
        <w:rPr>
          <w:rFonts w:hint="eastAsia" w:ascii="Times New Roman" w:hAnsi="Times New Roman" w:eastAsia="方正仿宋_GBK" w:cs="Times New Roman"/>
          <w:color w:val="auto"/>
          <w:sz w:val="32"/>
          <w:szCs w:val="32"/>
          <w:lang w:val="en-US" w:eastAsia="zh-CN"/>
        </w:rPr>
        <w:t>加强课程育人效果和课程思政建设，通过职高教研组会等形式，强调各门学科的育人功能，挖掘课程内的思政元素，注重专业课堂内融入价值观教育等。</w:t>
      </w:r>
      <w:r>
        <w:rPr>
          <w:rFonts w:hint="eastAsia" w:ascii="Times New Roman" w:hAnsi="Times New Roman" w:eastAsia="方正楷体_GBK" w:cs="Times New Roman"/>
          <w:color w:val="auto"/>
          <w:sz w:val="32"/>
          <w:szCs w:val="32"/>
          <w:lang w:val="en-US" w:eastAsia="zh-CN"/>
        </w:rPr>
        <w:t>二是注重文化育人。</w:t>
      </w:r>
      <w:r>
        <w:rPr>
          <w:rFonts w:hint="eastAsia" w:ascii="Times New Roman" w:hAnsi="Times New Roman" w:eastAsia="方正仿宋_GBK" w:cs="Times New Roman"/>
          <w:color w:val="auto"/>
          <w:sz w:val="32"/>
          <w:szCs w:val="32"/>
          <w:lang w:val="en-US" w:eastAsia="zh-CN"/>
        </w:rPr>
        <w:t>加强校园文化和传统文化浸润效果，打造积极向上的校园文化氛围，为学生讲解“挺起胸膛朝前走、以心为眼看世界”的校训内涵，用实际活动讲解“用知识立志、以技能自强”的职业教育理念；开展“阅读悦美”国学经典读书分享会，开拓学生阅读视野，传承中华优秀传统文化；拓宽学生学习平台，聘请重庆正刚中医骨科医院医生到校讲解国家级非物质文化遗产，聘请燕青门正骨疗法、重庆资武道文化传播有限公司王行资武老师到校授课、重庆医仕大旨健康管理咨询有限公司老师到校授课。</w:t>
      </w:r>
      <w:r>
        <w:rPr>
          <w:rFonts w:hint="eastAsia" w:ascii="Times New Roman" w:hAnsi="Times New Roman" w:eastAsia="方正楷体_GBK" w:cs="Times New Roman"/>
          <w:color w:val="auto"/>
          <w:sz w:val="32"/>
          <w:szCs w:val="32"/>
          <w:lang w:val="en-US" w:eastAsia="zh-CN"/>
        </w:rPr>
        <w:t>三是注重实践活动育人。</w:t>
      </w:r>
      <w:r>
        <w:rPr>
          <w:rFonts w:hint="eastAsia" w:ascii="Times New Roman" w:hAnsi="Times New Roman" w:eastAsia="方正仿宋_GBK" w:cs="Times New Roman"/>
          <w:color w:val="auto"/>
          <w:sz w:val="32"/>
          <w:szCs w:val="32"/>
          <w:lang w:val="en-US" w:eastAsia="zh-CN"/>
        </w:rPr>
        <w:t>依托重庆市“馨小青”助残青年志愿服务队，参与重庆市“馨小青”助残“阳光行动”志愿服务技能大赛；依托学校社团——金鹰自强社开展中药研究院研学活动、植物园义务按摩服务活动、我身边的“活雷锋”演讲活动、“传承五四精神、放飞青春梦想”五四青年节系列活动；依托学校学生处，开展铭记历史，不忘“九一八”、“九九重阳节、浓浓敬老情”、“传承雷锋精神 弘扬时代新风”等系列主题班会活动，唱响爱国主义、集体主义、社会主义主旋律。四是注重协同育人。通过家长会、家校群等形式建立家校沟通机制、及时交流学生情况、加强家庭教育指导。通过开展“与企业面对面，让梦想肩并肩”第二届双选会，促进职业高中学生实习就业。</w:t>
      </w:r>
    </w:p>
    <w:p w14:paraId="7C39A548">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105" w:name="_Toc25454"/>
      <w:bookmarkStart w:id="106" w:name="_Toc23041"/>
      <w:bookmarkStart w:id="107" w:name="_Toc3839"/>
      <w:r>
        <w:rPr>
          <w:rFonts w:hint="eastAsia"/>
          <w:lang w:val="en-US" w:eastAsia="zh-CN"/>
        </w:rPr>
        <w:t>2.2课程建设</w:t>
      </w:r>
      <w:bookmarkEnd w:id="105"/>
      <w:bookmarkEnd w:id="106"/>
      <w:bookmarkEnd w:id="107"/>
    </w:p>
    <w:p w14:paraId="66E4F5E1">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108" w:name="_Toc18422"/>
      <w:bookmarkStart w:id="109" w:name="_Toc29207"/>
      <w:bookmarkStart w:id="110" w:name="_Toc10554"/>
      <w:r>
        <w:rPr>
          <w:rFonts w:hint="eastAsia"/>
          <w:lang w:val="en-US" w:eastAsia="zh-CN"/>
        </w:rPr>
        <w:t>2.2.1优化课程体系</w:t>
      </w:r>
      <w:bookmarkEnd w:id="108"/>
      <w:bookmarkEnd w:id="109"/>
      <w:bookmarkEnd w:id="110"/>
    </w:p>
    <w:p w14:paraId="412C62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通过明确优化目标、遵循优化原则、实施优化策略、采取具体优化措施以及建立持续优化与反馈机制，以全面提升学生的认知能力、实践能力和情感能力为根本，围绕“以能力为本位”的职业教育理念建设课程体系，联合高职院校修订了22个“3+2”中高职贯通对口升学专业人才培养方案和课程体系，将技能等级证书与13个“1+X”证书制度试点专业课程有机结合，满足学生需求、适应产业发展，优化职业教育课程体系。</w:t>
      </w:r>
    </w:p>
    <w:p w14:paraId="6102C920">
      <w:pPr>
        <w:pStyle w:val="38"/>
        <w:bidi w:val="0"/>
        <w:rPr>
          <w:rFonts w:hint="eastAsia"/>
          <w:lang w:val="en-US" w:eastAsia="zh-CN"/>
        </w:rPr>
      </w:pPr>
      <w:bookmarkStart w:id="111" w:name="_Toc9301"/>
      <w:r>
        <w:rPr>
          <w:rFonts w:hint="eastAsia"/>
          <w:lang w:val="en-US" w:eastAsia="zh-CN"/>
        </w:rPr>
        <w:t xml:space="preserve">表5 </w:t>
      </w:r>
      <w:r>
        <w:rPr>
          <w:rFonts w:hint="eastAsia"/>
        </w:rPr>
        <w:t>中职学校</w:t>
      </w:r>
      <w:r>
        <w:rPr>
          <w:rFonts w:hint="eastAsia"/>
          <w:lang w:val="en-US" w:eastAsia="zh-CN"/>
        </w:rPr>
        <w:t>课程建设情况一览表</w:t>
      </w:r>
      <w:bookmarkEnd w:id="111"/>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55"/>
        <w:gridCol w:w="1747"/>
        <w:gridCol w:w="1827"/>
        <w:gridCol w:w="1477"/>
        <w:gridCol w:w="1717"/>
      </w:tblGrid>
      <w:tr w14:paraId="3D05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4042D668">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年度</w:t>
            </w:r>
          </w:p>
        </w:tc>
        <w:tc>
          <w:tcPr>
            <w:tcW w:w="913"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insideV w:val="nil"/>
              <w:tl2br w:val="nil"/>
              <w:tr2bl w:val="nil"/>
            </w:tcBorders>
            <w:shd w:val="clear" w:color="auto" w:fill="4874CB" w:themeFill="accent1"/>
            <w:vAlign w:val="center"/>
          </w:tcPr>
          <w:p w14:paraId="754EB3E5">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学校公共基础课设置（门）</w:t>
            </w:r>
          </w:p>
        </w:tc>
        <w:tc>
          <w:tcPr>
            <w:tcW w:w="964"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57E9A0FD">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具有课程标准的课程数（门）</w:t>
            </w:r>
          </w:p>
        </w:tc>
        <w:tc>
          <w:tcPr>
            <w:tcW w:w="1008"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25E5AD47">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省级以上规划教材使用比例（%）</w:t>
            </w:r>
          </w:p>
        </w:tc>
        <w:tc>
          <w:tcPr>
            <w:tcW w:w="815"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5910D02F">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校本教材开发数（本）</w:t>
            </w:r>
          </w:p>
        </w:tc>
        <w:tc>
          <w:tcPr>
            <w:tcW w:w="947"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6A87CB7F">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专业劳动课程平均学时（学时）</w:t>
            </w:r>
          </w:p>
        </w:tc>
      </w:tr>
      <w:tr w14:paraId="6652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9B13E2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2023</w:t>
            </w:r>
          </w:p>
        </w:tc>
        <w:tc>
          <w:tcPr>
            <w:tcW w:w="913"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7A369B2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11</w:t>
            </w:r>
          </w:p>
        </w:tc>
        <w:tc>
          <w:tcPr>
            <w:tcW w:w="964"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BE2E0B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149</w:t>
            </w:r>
          </w:p>
        </w:tc>
        <w:tc>
          <w:tcPr>
            <w:tcW w:w="1008"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D63CFA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84</w:t>
            </w:r>
          </w:p>
        </w:tc>
        <w:tc>
          <w:tcPr>
            <w:tcW w:w="81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50A9E6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w:t>
            </w:r>
          </w:p>
        </w:tc>
        <w:tc>
          <w:tcPr>
            <w:tcW w:w="947"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91FC26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15</w:t>
            </w:r>
          </w:p>
        </w:tc>
      </w:tr>
      <w:tr w14:paraId="14C8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3F1C50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2024</w:t>
            </w:r>
          </w:p>
        </w:tc>
        <w:tc>
          <w:tcPr>
            <w:tcW w:w="913"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25440C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11</w:t>
            </w:r>
          </w:p>
        </w:tc>
        <w:tc>
          <w:tcPr>
            <w:tcW w:w="9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FCFA98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155</w:t>
            </w:r>
          </w:p>
        </w:tc>
        <w:tc>
          <w:tcPr>
            <w:tcW w:w="100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44EA7B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91</w:t>
            </w:r>
          </w:p>
        </w:tc>
        <w:tc>
          <w:tcPr>
            <w:tcW w:w="81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AF3C1F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4</w:t>
            </w:r>
          </w:p>
        </w:tc>
        <w:tc>
          <w:tcPr>
            <w:tcW w:w="94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398E81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15</w:t>
            </w:r>
          </w:p>
        </w:tc>
      </w:tr>
      <w:tr w14:paraId="3B6E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29" w:type="pct"/>
            <w:gridSpan w:val="3"/>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160604A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进行课程思政改造并实施教学的课程门数（门）</w:t>
            </w:r>
          </w:p>
        </w:tc>
        <w:tc>
          <w:tcPr>
            <w:tcW w:w="2770" w:type="pct"/>
            <w:gridSpan w:val="3"/>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247CAD9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155</w:t>
            </w:r>
          </w:p>
        </w:tc>
      </w:tr>
    </w:tbl>
    <w:p w14:paraId="53727955">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12" w:name="_Toc20343"/>
      <w:bookmarkStart w:id="113" w:name="_Toc4401"/>
      <w:bookmarkStart w:id="114" w:name="_Toc9636"/>
      <w:r>
        <w:rPr>
          <w:rFonts w:hint="eastAsia"/>
          <w:lang w:val="en-US" w:eastAsia="zh-CN"/>
        </w:rPr>
        <w:t>2.2.2全面落实课程思政</w:t>
      </w:r>
      <w:bookmarkEnd w:id="112"/>
      <w:bookmarkEnd w:id="113"/>
      <w:bookmarkEnd w:id="114"/>
    </w:p>
    <w:p w14:paraId="182B36C6">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全面落实课程思政，根据不同学科的特色和优势，深入研究不同专业的育人目标，提出“价值引领、同向同行、协同育人”的课程思政原则，深度挖掘提炼专业知识体系中所蕴含的思想价值和精神内涵。将思政元素有机融入课程中，形成具有专业特色的课程思政体系。创新教学方法，运用现代信息化技术手段，提升课程思政效果，完善评价体系，开设“素养大课堂”、社团、社会实践第二课堂，加强校企合作，全面推进课程思政，实现思政教育与企业文化的深度融合。</w:t>
      </w:r>
    </w:p>
    <w:p w14:paraId="219AAA2A">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15" w:name="_Toc19714"/>
      <w:bookmarkStart w:id="116" w:name="_Toc30189"/>
      <w:bookmarkStart w:id="117" w:name="_Toc12087"/>
      <w:r>
        <w:rPr>
          <w:rFonts w:hint="eastAsia"/>
          <w:lang w:val="en-US" w:eastAsia="zh-CN"/>
        </w:rPr>
        <w:t>2.2.3打造精品在线课程</w:t>
      </w:r>
      <w:bookmarkEnd w:id="115"/>
      <w:bookmarkEnd w:id="116"/>
      <w:bookmarkEnd w:id="117"/>
    </w:p>
    <w:p w14:paraId="4985CD32">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积极打造打造精品在线课程，现有《老年康乐活动组织与实施》《新媒体营销》两门在线精品课程，其中国家级1门，省级1门。《新媒体营销》课程以职业院校高质量发展为依托，建设数字化课程平台，通过双主体开发团队，发挥各自优势，与行业企业共同制订核心课程标准，获职业教育在线精品课程，建设内容涵盖重要知识点微课视频、重要知识点电子课件、重要知识点教学设计、重要知识点试题库等。</w:t>
      </w:r>
    </w:p>
    <w:p w14:paraId="389F110C">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18" w:name="_Toc17630"/>
      <w:bookmarkStart w:id="119" w:name="_Toc12426"/>
      <w:bookmarkStart w:id="120" w:name="_Toc22470"/>
      <w:r>
        <w:rPr>
          <w:rFonts w:hint="eastAsia"/>
          <w:lang w:val="en-US" w:eastAsia="zh-CN"/>
        </w:rPr>
        <w:t>2.2.4课程建设质量标准与监测评价</w:t>
      </w:r>
      <w:bookmarkEnd w:id="118"/>
      <w:bookmarkEnd w:id="119"/>
      <w:bookmarkEnd w:id="120"/>
    </w:p>
    <w:p w14:paraId="4DE7AB31">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贯彻落实《深化新时代教育评价改革总体方案》、《关于实施中国特色高水平高职学校和专业建设计划的意见》（教职成〔2019〕5号）等文件精神，加强课程建设，提升课程育人质量。坚持公平、公正原则，注重过程评价和结果评价结合，以专业人才培养方案中的课程体系及与之相关的内容为课程体系监测评价对象，由教学管理与教师发展中心协同专业部共同对课程体系、课程资源建设、教师或教学团队进行多维度考核评价，全面反映学生的学习成果和教师的教学效果。</w:t>
      </w:r>
    </w:p>
    <w:p w14:paraId="351DDE74">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21" w:name="_Toc24093"/>
      <w:bookmarkStart w:id="122" w:name="_Toc4161"/>
      <w:bookmarkStart w:id="123" w:name="_Toc23033"/>
      <w:r>
        <w:rPr>
          <w:rFonts w:hint="eastAsia"/>
          <w:lang w:val="en-US" w:eastAsia="zh-CN"/>
        </w:rPr>
        <w:t>2.2.5技工学校课程建设情况</w:t>
      </w:r>
      <w:bookmarkEnd w:id="121"/>
      <w:bookmarkEnd w:id="122"/>
      <w:bookmarkEnd w:id="123"/>
    </w:p>
    <w:p w14:paraId="26E1A04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推行一体化课程教学改革，培养高技能人才，参照人社部试行的一体化人才培养方案和课程标准，根据专业、师资配备及实训基地建设情况，在城市轨道交通运输与管理、电气自动化设备安装与维修(电梯方向)、电子技术应用、汽车维修技术四个专业进行一体化课程改革，制定了校内一体化教学规范文件。学校加大对人才培养体系的改革和实习实训教学课时，以适应技能人才培养的要求。在常设的18个专业中，在校教学课时数达到2/3以上，实训实时课时数超过1/2。在教学管理、质量监控等方面，逐步加大规范化的管理和监控力度，确保教学运行规范有序，人才培养质量有保障。2023年12月，学校获批区级技能大师工作室，胡建波数字化媒体技术区级技能大师工作室。专业开设有20个，常设专业有18个，18个专业均有修订完成人才培养方案。</w:t>
      </w:r>
    </w:p>
    <w:p w14:paraId="15D8729B">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24" w:name="_Toc22775"/>
      <w:bookmarkStart w:id="125" w:name="_Toc32458"/>
      <w:bookmarkStart w:id="126" w:name="_Toc25132"/>
      <w:r>
        <w:rPr>
          <w:rFonts w:hint="eastAsia"/>
          <w:lang w:val="en-US" w:eastAsia="zh-CN"/>
        </w:rPr>
        <w:t>2.2.6特教中心课程建设情况</w:t>
      </w:r>
      <w:bookmarkEnd w:id="124"/>
      <w:bookmarkEnd w:id="125"/>
      <w:bookmarkEnd w:id="126"/>
    </w:p>
    <w:p w14:paraId="764DFF3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特教中心中医康复技术专业开设课程27门，包括语文、思想政治、历史、信息技术、体育、音乐、劳动等公共课程；正常人体解剖学、按摩学基础、中医学基础、中医诊断学、经络腧穴学、医古文、生理学、病理学等专业课程。开设多门专业选修课，如精油推背、足底按摩、刮痧、拔罐等。</w:t>
      </w:r>
    </w:p>
    <w:p w14:paraId="7F1CEF2B">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2.3“三教”改革</w:t>
      </w:r>
    </w:p>
    <w:p w14:paraId="341281FD">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27" w:name="_Toc21786"/>
      <w:bookmarkStart w:id="128" w:name="_Toc5482"/>
      <w:bookmarkStart w:id="129" w:name="_Toc31238"/>
      <w:r>
        <w:rPr>
          <w:rFonts w:hint="eastAsia"/>
          <w:lang w:val="en-US" w:eastAsia="zh-CN"/>
        </w:rPr>
        <w:t>2.3.1创新教学形式</w:t>
      </w:r>
      <w:bookmarkEnd w:id="127"/>
      <w:bookmarkEnd w:id="128"/>
      <w:bookmarkEnd w:id="129"/>
    </w:p>
    <w:p w14:paraId="70307B43">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以“产教融合”“大思政”“数智化”为改革关键词，围绕“以学生为中心”的根本，探索校企合作的根本路径，跟进产业导师项目，聘请企业专家进课堂；推动1+X证书项目，探索“岗课赛证”一体化，以学生为“轴心”，以“领、案、训、融、评”五个课堂变革维度，建构出“五维同轴”的混合式课堂教学变革模式。从提高教师信息化教育技术应用能力为起点，推动信息技术环境中教学方法和教学手段、教学评价等变革，推行线上线下混合式教学法，提高信息化教学水平。《思政引领、校企融合、数字赋能的中职服装专业新形态教材开发》《中职智能制造专业基于“校中厂”的“五维一体双循环”人才培养改革与实践》等5个教学改革相关的项目成功立项。</w:t>
      </w:r>
    </w:p>
    <w:p w14:paraId="3814F519">
      <w:pPr>
        <w:pStyle w:val="38"/>
        <w:bidi w:val="0"/>
        <w:rPr>
          <w:rFonts w:hint="eastAsia"/>
          <w:lang w:val="en-US" w:eastAsia="zh-CN"/>
        </w:rPr>
      </w:pPr>
      <w:bookmarkStart w:id="130" w:name="_Toc22665"/>
      <w:r>
        <w:rPr>
          <w:rFonts w:hint="eastAsia"/>
          <w:lang w:val="en-US" w:eastAsia="zh-CN"/>
        </w:rPr>
        <w:t xml:space="preserve">表6 </w:t>
      </w:r>
      <w:r>
        <w:rPr>
          <w:rFonts w:hint="eastAsia"/>
        </w:rPr>
        <w:t>中职学校</w:t>
      </w:r>
      <w:r>
        <w:rPr>
          <w:rFonts w:hint="eastAsia"/>
          <w:lang w:val="en-US" w:eastAsia="zh-CN"/>
        </w:rPr>
        <w:t>教学管理情况一览表</w:t>
      </w:r>
      <w:bookmarkEnd w:id="130"/>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098"/>
        <w:gridCol w:w="1098"/>
        <w:gridCol w:w="1098"/>
        <w:gridCol w:w="1098"/>
        <w:gridCol w:w="1098"/>
        <w:gridCol w:w="1098"/>
        <w:gridCol w:w="1645"/>
      </w:tblGrid>
      <w:tr w14:paraId="6F47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54"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0DF17FD2">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bookmarkStart w:id="131" w:name="_Toc2482"/>
            <w:r>
              <w:rPr>
                <w:rFonts w:hint="eastAsia" w:ascii="方正仿宋_GBK" w:hAnsi="方正仿宋_GBK" w:eastAsia="方正仿宋_GBK" w:cs="方正仿宋_GBK"/>
                <w:b/>
                <w:bCs/>
                <w:i w:val="0"/>
                <w:color w:val="FFFFFF"/>
                <w:kern w:val="0"/>
                <w:szCs w:val="21"/>
                <w:lang w:val="en-US" w:eastAsia="zh-CN" w:bidi="ar"/>
              </w:rPr>
              <w:t>年度</w:t>
            </w:r>
          </w:p>
        </w:tc>
        <w:tc>
          <w:tcPr>
            <w:tcW w:w="60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5F0900D2">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教学</w:t>
            </w:r>
          </w:p>
          <w:p w14:paraId="12521D44">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管理</w:t>
            </w:r>
          </w:p>
          <w:p w14:paraId="0358B0BC">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（人）</w:t>
            </w:r>
          </w:p>
        </w:tc>
        <w:tc>
          <w:tcPr>
            <w:tcW w:w="60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0537C50E">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学生</w:t>
            </w:r>
          </w:p>
          <w:p w14:paraId="61C71F89">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管理</w:t>
            </w:r>
          </w:p>
          <w:p w14:paraId="784316EF">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（人）</w:t>
            </w:r>
          </w:p>
        </w:tc>
        <w:tc>
          <w:tcPr>
            <w:tcW w:w="60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04A0AC7D">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财务</w:t>
            </w:r>
          </w:p>
          <w:p w14:paraId="512AF767">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管理</w:t>
            </w:r>
          </w:p>
          <w:p w14:paraId="65DFD1F6">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（人）</w:t>
            </w:r>
          </w:p>
        </w:tc>
        <w:tc>
          <w:tcPr>
            <w:tcW w:w="60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3D4D5D4D">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后勤</w:t>
            </w:r>
          </w:p>
          <w:p w14:paraId="5C4EC6A3">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管理</w:t>
            </w:r>
          </w:p>
          <w:p w14:paraId="73D131AA">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（人）</w:t>
            </w:r>
          </w:p>
        </w:tc>
        <w:tc>
          <w:tcPr>
            <w:tcW w:w="60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178F7C0F">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安全</w:t>
            </w:r>
          </w:p>
          <w:p w14:paraId="39C66174">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管理</w:t>
            </w:r>
          </w:p>
          <w:p w14:paraId="1550033D">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（人）</w:t>
            </w:r>
          </w:p>
        </w:tc>
        <w:tc>
          <w:tcPr>
            <w:tcW w:w="60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1C7C54ED">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科研</w:t>
            </w:r>
          </w:p>
          <w:p w14:paraId="0E7A1017">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管理</w:t>
            </w:r>
          </w:p>
          <w:p w14:paraId="15DF9B5A">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（人）</w:t>
            </w:r>
          </w:p>
        </w:tc>
        <w:tc>
          <w:tcPr>
            <w:tcW w:w="907"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insideV w:val="nil"/>
              <w:tl2br w:val="nil"/>
              <w:tr2bl w:val="nil"/>
            </w:tcBorders>
            <w:shd w:val="clear" w:color="auto" w:fill="4874CB" w:themeFill="accent1"/>
            <w:vAlign w:val="center"/>
          </w:tcPr>
          <w:p w14:paraId="03858656">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合计（人）</w:t>
            </w:r>
          </w:p>
        </w:tc>
      </w:tr>
      <w:tr w14:paraId="0078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54" w:type="pc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1E61FC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60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D7BA43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26</w:t>
            </w:r>
          </w:p>
        </w:tc>
        <w:tc>
          <w:tcPr>
            <w:tcW w:w="60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8F73A2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180</w:t>
            </w:r>
          </w:p>
        </w:tc>
        <w:tc>
          <w:tcPr>
            <w:tcW w:w="60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1BD65F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w:t>
            </w:r>
          </w:p>
        </w:tc>
        <w:tc>
          <w:tcPr>
            <w:tcW w:w="60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403EA4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14</w:t>
            </w:r>
          </w:p>
        </w:tc>
        <w:tc>
          <w:tcPr>
            <w:tcW w:w="60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FA23F6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48</w:t>
            </w:r>
          </w:p>
        </w:tc>
        <w:tc>
          <w:tcPr>
            <w:tcW w:w="60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340C70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c>
          <w:tcPr>
            <w:tcW w:w="907"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686A23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282</w:t>
            </w:r>
          </w:p>
        </w:tc>
      </w:tr>
      <w:tr w14:paraId="4AA7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54"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vAlign w:val="center"/>
          </w:tcPr>
          <w:p w14:paraId="5343854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60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1312C5E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41</w:t>
            </w:r>
          </w:p>
        </w:tc>
        <w:tc>
          <w:tcPr>
            <w:tcW w:w="60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3292706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177</w:t>
            </w:r>
          </w:p>
        </w:tc>
        <w:tc>
          <w:tcPr>
            <w:tcW w:w="60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729C993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w:t>
            </w:r>
          </w:p>
        </w:tc>
        <w:tc>
          <w:tcPr>
            <w:tcW w:w="60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2A1F807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14</w:t>
            </w:r>
          </w:p>
        </w:tc>
        <w:tc>
          <w:tcPr>
            <w:tcW w:w="60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11D706B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50</w:t>
            </w:r>
          </w:p>
        </w:tc>
        <w:tc>
          <w:tcPr>
            <w:tcW w:w="60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769C798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c>
          <w:tcPr>
            <w:tcW w:w="907"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FFFFFF"/>
            <w:vAlign w:val="center"/>
          </w:tcPr>
          <w:p w14:paraId="7A97821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298</w:t>
            </w:r>
          </w:p>
        </w:tc>
      </w:tr>
      <w:bookmarkEnd w:id="131"/>
    </w:tbl>
    <w:p w14:paraId="31EF9CF9">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32" w:name="_Toc18690"/>
      <w:bookmarkStart w:id="133" w:name="_Toc6481"/>
      <w:bookmarkStart w:id="134" w:name="_Toc19095"/>
      <w:r>
        <w:rPr>
          <w:rFonts w:hint="eastAsia"/>
          <w:lang w:val="en-US" w:eastAsia="zh-CN"/>
        </w:rPr>
        <w:t>2.3.2打造示范课堂</w:t>
      </w:r>
      <w:bookmarkEnd w:id="132"/>
      <w:bookmarkEnd w:id="133"/>
      <w:bookmarkEnd w:id="134"/>
    </w:p>
    <w:p w14:paraId="206CD972">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以“三教改革”“五金”建设为引领，在学校专业建设、高效课堂建设中探索新时代背景下人才培养的新模式。以教学能力大赛为撬点，以赛促学、以赛促建，全面开展课堂大比拼，分专业打造示范课堂，优质课堂，推行项目教学、案例教学、情境教学、工作过程导向教学等新型职业教育教学方法，服务效能课堂建设。2023年，成功立项重庆市典型案例《电子商务专业“双导师三课堂五循环”项目驱动式教学改革实践》（重点建设项目），《网络安全专业“双驱动、四融合”课堂教学改革实践》（一般建设项目）。</w:t>
      </w:r>
    </w:p>
    <w:p w14:paraId="1D545DAE">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35" w:name="_Toc3515"/>
      <w:bookmarkStart w:id="136" w:name="_Toc29628"/>
      <w:bookmarkStart w:id="137" w:name="_Toc26297"/>
      <w:r>
        <w:rPr>
          <w:rFonts w:hint="eastAsia"/>
          <w:lang w:val="en-US" w:eastAsia="zh-CN"/>
        </w:rPr>
        <w:t>2.3.3教材使用</w:t>
      </w:r>
      <w:bookmarkEnd w:id="135"/>
      <w:bookmarkEnd w:id="136"/>
      <w:bookmarkEnd w:id="137"/>
    </w:p>
    <w:p w14:paraId="644777E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一是规范教材选用。</w:t>
      </w:r>
      <w:r>
        <w:rPr>
          <w:rFonts w:hint="eastAsia" w:ascii="Times New Roman" w:hAnsi="Times New Roman" w:eastAsia="方正仿宋_GBK" w:cs="Times New Roman"/>
          <w:color w:val="auto"/>
          <w:sz w:val="32"/>
          <w:szCs w:val="32"/>
          <w:lang w:val="en-US" w:eastAsia="zh-CN"/>
        </w:rPr>
        <w:t>指导学校完善教材使用、图书管理等规章制度，成立教材选用委员会，严格落实教材规划、编写、审核、选用、监督五个环节的管理职责。在教材选用上，坚持采用选编相结合、以选为主的基本原则，根据行业、企业的技术革新，以规划教材选用为主体，动态调整更新教材，为学校专业建设夯实教学基础。协调学校多部门共同规范教材管理，完善教材编写、审核、选用和评估等工作，从源头上把握好意识形态关，把握好教材的政治方向和价值导向。</w:t>
      </w:r>
      <w:bookmarkStart w:id="138" w:name="_Toc27380"/>
      <w:r>
        <w:rPr>
          <w:rFonts w:hint="eastAsia" w:ascii="Times New Roman" w:hAnsi="Times New Roman" w:eastAsia="方正楷体_GBK" w:cs="Times New Roman"/>
          <w:color w:val="auto"/>
          <w:sz w:val="32"/>
          <w:szCs w:val="32"/>
          <w:lang w:val="en-US" w:eastAsia="zh-CN"/>
        </w:rPr>
        <w:t>二是强化教材建设</w:t>
      </w:r>
      <w:bookmarkEnd w:id="138"/>
      <w:r>
        <w:rPr>
          <w:rFonts w:hint="eastAsia" w:ascii="Times New Roman" w:hAnsi="Times New Roman" w:eastAsia="方正楷体_GBK" w:cs="Times New Roman"/>
          <w:color w:val="auto"/>
          <w:sz w:val="32"/>
          <w:szCs w:val="32"/>
          <w:lang w:val="en-US" w:eastAsia="zh-CN"/>
        </w:rPr>
        <w:t>。</w:t>
      </w:r>
      <w:r>
        <w:rPr>
          <w:rFonts w:hint="eastAsia" w:ascii="Times New Roman" w:hAnsi="Times New Roman" w:eastAsia="方正仿宋_GBK" w:cs="Times New Roman"/>
          <w:color w:val="auto"/>
          <w:sz w:val="32"/>
          <w:szCs w:val="32"/>
          <w:lang w:val="en-US" w:eastAsia="zh-CN"/>
        </w:rPr>
        <w:t>南岸区致力于提高教材质量，打造精品教材，基于学生发展核心素养，紧跟专业、技能、知识更新步伐，淘汰不符合教与学需求的教材、对相关内容进行修订、鼓励教师开发教材及配套资源，从职业教育理念、行业联系、课程标准、教学设计、教学模式、教学方法、教学手段、教学材料及设备设施建设等方面进行深度的变革与实施。加强校企融合，双元主体合作开发新型一体化教材，本年度共编写国家规划教材1本，校企合作开发教材7本，开发岗课赛证融通教材1本，新型活页式、工作手册式教材5本，国家精品在线开放课程配套教材1本。</w:t>
      </w:r>
      <w:bookmarkStart w:id="139" w:name="_Toc5157"/>
      <w:bookmarkStart w:id="140" w:name="_Toc18220"/>
      <w:bookmarkStart w:id="141" w:name="_Toc16206"/>
      <w:bookmarkStart w:id="142" w:name="_Toc8452"/>
      <w:bookmarkStart w:id="143" w:name="_Toc29153"/>
      <w:bookmarkStart w:id="144" w:name="_Toc27546"/>
    </w:p>
    <w:p w14:paraId="3062260B">
      <w:pPr>
        <w:pStyle w:val="38"/>
        <w:bidi w:val="0"/>
        <w:rPr>
          <w:rFonts w:hint="eastAsia"/>
          <w:lang w:val="en-US" w:eastAsia="zh-CN"/>
        </w:rPr>
      </w:pPr>
      <w:bookmarkStart w:id="145" w:name="_Toc25730"/>
      <w:r>
        <w:rPr>
          <w:rFonts w:hint="eastAsia"/>
          <w:lang w:val="en-US" w:eastAsia="zh-CN"/>
        </w:rPr>
        <w:t xml:space="preserve">表7 </w:t>
      </w:r>
      <w:r>
        <w:rPr>
          <w:rFonts w:hint="eastAsia"/>
        </w:rPr>
        <w:t>中职学校</w:t>
      </w:r>
      <w:r>
        <w:rPr>
          <w:rFonts w:hint="eastAsia"/>
          <w:lang w:val="en-US" w:eastAsia="zh-CN"/>
        </w:rPr>
        <w:t>教材建设一览表</w:t>
      </w:r>
      <w:bookmarkEnd w:id="139"/>
      <w:bookmarkEnd w:id="140"/>
      <w:bookmarkEnd w:id="141"/>
      <w:bookmarkEnd w:id="142"/>
      <w:bookmarkEnd w:id="143"/>
      <w:bookmarkEnd w:id="145"/>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777"/>
        <w:gridCol w:w="1055"/>
        <w:gridCol w:w="1020"/>
        <w:gridCol w:w="681"/>
        <w:gridCol w:w="681"/>
        <w:gridCol w:w="522"/>
        <w:gridCol w:w="1020"/>
        <w:gridCol w:w="1006"/>
        <w:gridCol w:w="879"/>
        <w:gridCol w:w="836"/>
      </w:tblGrid>
      <w:tr w14:paraId="6C74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1"/>
            <w:tcBorders>
              <w:top w:val="single" w:color="4874CB" w:themeColor="accent1" w:sz="6" w:space="0"/>
              <w:left w:val="single" w:color="4874CB" w:themeColor="accent1" w:sz="6" w:space="0"/>
              <w:bottom w:val="single" w:color="4874CB" w:themeColor="accent1" w:sz="6" w:space="0"/>
              <w:right w:val="single" w:color="B5C7EA" w:themeColor="accent1" w:themeTint="66" w:sz="6" w:space="0"/>
              <w:tl2br w:val="nil"/>
              <w:tr2bl w:val="nil"/>
            </w:tcBorders>
            <w:shd w:val="clear" w:color="auto" w:fill="4874CB" w:themeFill="accent1"/>
            <w:vAlign w:val="center"/>
          </w:tcPr>
          <w:p w14:paraId="4E595E1A">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教材建设（种）</w:t>
            </w:r>
          </w:p>
        </w:tc>
      </w:tr>
      <w:tr w14:paraId="1429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 w:type="pc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724687A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出版教材总数</w:t>
            </w:r>
          </w:p>
        </w:tc>
        <w:tc>
          <w:tcPr>
            <w:tcW w:w="429"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5AE9E6F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国家教材建设奖优秀教材数</w:t>
            </w:r>
          </w:p>
        </w:tc>
        <w:tc>
          <w:tcPr>
            <w:tcW w:w="58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2DEB55A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纳入“十四五”国家级规划教材数</w:t>
            </w:r>
          </w:p>
        </w:tc>
        <w:tc>
          <w:tcPr>
            <w:tcW w:w="56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389224E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纳入“十四五”省级规划教材数</w:t>
            </w:r>
          </w:p>
        </w:tc>
        <w:tc>
          <w:tcPr>
            <w:tcW w:w="37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2C64B0B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校企合作开发教材数</w:t>
            </w:r>
          </w:p>
        </w:tc>
        <w:tc>
          <w:tcPr>
            <w:tcW w:w="37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0B4E24A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岗课赛证融通教材数</w:t>
            </w:r>
          </w:p>
        </w:tc>
        <w:tc>
          <w:tcPr>
            <w:tcW w:w="288"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606629B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云教材数</w:t>
            </w:r>
          </w:p>
        </w:tc>
        <w:tc>
          <w:tcPr>
            <w:tcW w:w="56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1297CDB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新型活页式、工作手册式教材数</w:t>
            </w:r>
          </w:p>
        </w:tc>
        <w:tc>
          <w:tcPr>
            <w:tcW w:w="55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6C80630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国家级职业教育专业教学资源库配套教材数</w:t>
            </w:r>
          </w:p>
        </w:tc>
        <w:tc>
          <w:tcPr>
            <w:tcW w:w="48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l2br w:val="nil"/>
              <w:tr2bl w:val="nil"/>
            </w:tcBorders>
            <w:shd w:val="clear" w:color="auto" w:fill="EDF1F9" w:themeFill="accent1" w:themeFillTint="19"/>
            <w:vAlign w:val="center"/>
          </w:tcPr>
          <w:p w14:paraId="1FDF970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国家精品在线开放课程配套教材数</w:t>
            </w:r>
          </w:p>
        </w:tc>
        <w:tc>
          <w:tcPr>
            <w:tcW w:w="455"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l2br w:val="nil"/>
              <w:tr2bl w:val="nil"/>
            </w:tcBorders>
            <w:shd w:val="clear" w:color="auto" w:fill="EDF1F9" w:themeFill="accent1" w:themeFillTint="19"/>
            <w:vAlign w:val="center"/>
          </w:tcPr>
          <w:p w14:paraId="35031BC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教育部现代学徒制配套教材数</w:t>
            </w:r>
          </w:p>
        </w:tc>
      </w:tr>
      <w:tr w14:paraId="3ED6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l2br w:val="nil"/>
              <w:tr2bl w:val="nil"/>
            </w:tcBorders>
            <w:shd w:val="clear" w:color="auto" w:fill="FFFFFF"/>
            <w:vAlign w:val="center"/>
          </w:tcPr>
          <w:p w14:paraId="25FE8E8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8</w:t>
            </w:r>
          </w:p>
        </w:tc>
        <w:tc>
          <w:tcPr>
            <w:tcW w:w="429"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69249DB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58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089A176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w:t>
            </w:r>
          </w:p>
        </w:tc>
        <w:tc>
          <w:tcPr>
            <w:tcW w:w="56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02202E2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37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25752DB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7</w:t>
            </w:r>
          </w:p>
        </w:tc>
        <w:tc>
          <w:tcPr>
            <w:tcW w:w="37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02C2144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w:t>
            </w:r>
          </w:p>
        </w:tc>
        <w:tc>
          <w:tcPr>
            <w:tcW w:w="28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3F509AC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56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27D4B73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5</w:t>
            </w:r>
          </w:p>
        </w:tc>
        <w:tc>
          <w:tcPr>
            <w:tcW w:w="55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7A8AD0D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48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l2br w:val="nil"/>
              <w:tr2bl w:val="nil"/>
            </w:tcBorders>
            <w:shd w:val="clear" w:color="auto" w:fill="FFFFFF"/>
            <w:vAlign w:val="center"/>
          </w:tcPr>
          <w:p w14:paraId="1CCE187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w:t>
            </w:r>
          </w:p>
        </w:tc>
        <w:tc>
          <w:tcPr>
            <w:tcW w:w="455"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l2br w:val="nil"/>
              <w:tr2bl w:val="nil"/>
            </w:tcBorders>
            <w:shd w:val="clear" w:color="auto" w:fill="FFFFFF"/>
            <w:vAlign w:val="center"/>
          </w:tcPr>
          <w:p w14:paraId="7BACF47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r>
    </w:tbl>
    <w:p w14:paraId="73826286">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46" w:name="_Toc28217"/>
      <w:bookmarkStart w:id="147" w:name="_Toc24380"/>
      <w:bookmarkStart w:id="148" w:name="_Toc9347"/>
      <w:r>
        <w:rPr>
          <w:rFonts w:hint="eastAsia"/>
          <w:lang w:val="en-US" w:eastAsia="zh-CN"/>
        </w:rPr>
        <w:t>2.3.4师资建设</w:t>
      </w:r>
      <w:bookmarkEnd w:id="144"/>
      <w:bookmarkEnd w:id="146"/>
      <w:bookmarkEnd w:id="147"/>
      <w:bookmarkEnd w:id="148"/>
    </w:p>
    <w:p w14:paraId="302C381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bookmarkStart w:id="149" w:name="_Toc10458"/>
      <w:r>
        <w:rPr>
          <w:rFonts w:hint="eastAsia" w:ascii="Times New Roman" w:hAnsi="Times New Roman" w:eastAsia="方正楷体_GBK" w:cs="Times New Roman"/>
          <w:color w:val="auto"/>
          <w:sz w:val="32"/>
          <w:szCs w:val="32"/>
          <w:lang w:val="en-US" w:eastAsia="zh-CN"/>
        </w:rPr>
        <w:t>一是严抓善引，夯实师德师风建设</w:t>
      </w:r>
      <w:bookmarkEnd w:id="149"/>
      <w:r>
        <w:rPr>
          <w:rFonts w:hint="eastAsia" w:ascii="Times New Roman" w:hAnsi="Times New Roman" w:eastAsia="方正楷体_GBK" w:cs="Times New Roman"/>
          <w:color w:val="auto"/>
          <w:sz w:val="32"/>
          <w:szCs w:val="32"/>
          <w:lang w:val="en-US" w:eastAsia="zh-CN"/>
        </w:rPr>
        <w:t>。</w:t>
      </w:r>
      <w:r>
        <w:rPr>
          <w:rFonts w:hint="eastAsia" w:ascii="方正仿宋_GBK" w:hAnsi="方正仿宋_GBK" w:eastAsia="方正仿宋_GBK" w:cs="方正仿宋_GBK"/>
          <w:color w:val="auto"/>
          <w:sz w:val="32"/>
          <w:szCs w:val="32"/>
          <w:lang w:val="en-US" w:eastAsia="zh-CN"/>
        </w:rPr>
        <w:t>南岸区将师德师风作为衡量教师素质的首要准则。着眼于造就一支师德高尚、业务精良的教师队伍，建立健全教育、宣传、考核、监督、奖励与惩处相结合的师德师风长效机制。开展“立足教师之本，恪守职业道德，为教师专业赋能”主题系列培训，深入解读中小学</w:t>
      </w:r>
      <w:r>
        <w:rPr>
          <w:rFonts w:hint="eastAsia" w:ascii="Times New Roman" w:hAnsi="Times New Roman" w:eastAsia="方正仿宋_GBK" w:cs="Times New Roman"/>
          <w:color w:val="auto"/>
          <w:sz w:val="32"/>
          <w:szCs w:val="32"/>
          <w:lang w:val="en-US" w:eastAsia="zh-CN"/>
        </w:rPr>
        <w:t>教师职业道德规范，学习教育家理论思想和师德风范，在党的二十大精神</w:t>
      </w:r>
      <w:bookmarkStart w:id="635" w:name="_GoBack"/>
      <w:bookmarkEnd w:id="635"/>
      <w:r>
        <w:rPr>
          <w:rFonts w:hint="eastAsia" w:ascii="Times New Roman" w:hAnsi="Times New Roman" w:eastAsia="方正仿宋_GBK" w:cs="Times New Roman"/>
          <w:color w:val="auto"/>
          <w:sz w:val="32"/>
          <w:szCs w:val="32"/>
          <w:lang w:val="en-US" w:eastAsia="zh-CN"/>
        </w:rPr>
        <w:t>的引领下，打造高素质师德楷模。表彰区优秀教育工作者1人、优秀教师11人，校优秀教师、优秀教育工作者41人。</w:t>
      </w:r>
      <w:bookmarkStart w:id="150" w:name="_Toc12322"/>
      <w:r>
        <w:rPr>
          <w:rFonts w:hint="eastAsia" w:ascii="Times New Roman" w:hAnsi="Times New Roman" w:eastAsia="方正楷体_GBK" w:cs="Times New Roman"/>
          <w:color w:val="auto"/>
          <w:sz w:val="32"/>
          <w:szCs w:val="32"/>
          <w:lang w:val="en-US" w:eastAsia="zh-CN"/>
        </w:rPr>
        <w:t>二是培、赛、带、练，搭建教师发展平台</w:t>
      </w:r>
      <w:bookmarkEnd w:id="150"/>
      <w:r>
        <w:rPr>
          <w:rFonts w:hint="eastAsia" w:ascii="Times New Roman" w:hAnsi="Times New Roman" w:eastAsia="方正楷体_GBK" w:cs="Times New Roman"/>
          <w:color w:val="auto"/>
          <w:sz w:val="32"/>
          <w:szCs w:val="32"/>
          <w:lang w:val="en-US" w:eastAsia="zh-CN"/>
        </w:rPr>
        <w:t>。</w:t>
      </w:r>
      <w:r>
        <w:rPr>
          <w:rFonts w:hint="eastAsia" w:ascii="Times New Roman" w:hAnsi="Times New Roman" w:eastAsia="方正仿宋_GBK" w:cs="Times New Roman"/>
          <w:color w:val="auto"/>
          <w:sz w:val="32"/>
          <w:szCs w:val="32"/>
          <w:lang w:val="en-US" w:eastAsia="zh-CN"/>
        </w:rPr>
        <w:t>南岸区指导学校开展教师各级各类培训，顺利报送教师23人次参加2024职业院校教师素质提高计划，新教师参与入职培训16人次，组织全体教师参与国家智慧教育平台寒暑假研修、安排教师深入行业一线实践。大力推进双师型师资队伍建设，鼓励各类教师参加多层次教育教学比赛，在赛场上学习历练。持续开展“传帮带”青蓝工程、组建教学创新团队、名师工作室等方式，搭建教师发展梯队。评定助理讲师1名、中职讲师4名、高级讲师4名，促进了教师队伍多层次全方面发展。8位中青年骨干教师带领30余名一线教师成功立项6个2024年重庆市教改项目，2个市区规划课题。</w:t>
      </w:r>
      <w:bookmarkStart w:id="151" w:name="_Toc23949"/>
    </w:p>
    <w:p w14:paraId="7312A995">
      <w:pPr>
        <w:pStyle w:val="38"/>
        <w:bidi w:val="0"/>
        <w:rPr>
          <w:rFonts w:hint="eastAsia"/>
          <w:lang w:val="en-US" w:eastAsia="zh-CN"/>
        </w:rPr>
      </w:pPr>
      <w:bookmarkStart w:id="152" w:name="_Toc29257"/>
      <w:r>
        <w:rPr>
          <w:rFonts w:hint="eastAsia"/>
          <w:lang w:val="en-US" w:eastAsia="zh-CN"/>
        </w:rPr>
        <w:t xml:space="preserve">表8 </w:t>
      </w:r>
      <w:r>
        <w:rPr>
          <w:rFonts w:hint="eastAsia"/>
        </w:rPr>
        <w:t>中职学校</w:t>
      </w:r>
      <w:r>
        <w:rPr>
          <w:rFonts w:hint="eastAsia"/>
          <w:lang w:val="en-US" w:eastAsia="zh-CN"/>
        </w:rPr>
        <w:t>教师培养培训情况一览表</w:t>
      </w:r>
      <w:bookmarkEnd w:id="151"/>
      <w:bookmarkEnd w:id="152"/>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638"/>
        <w:gridCol w:w="1427"/>
        <w:gridCol w:w="1178"/>
        <w:gridCol w:w="747"/>
        <w:gridCol w:w="818"/>
        <w:gridCol w:w="680"/>
        <w:gridCol w:w="747"/>
        <w:gridCol w:w="1276"/>
      </w:tblGrid>
      <w:tr w14:paraId="4993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restart"/>
            <w:tcBorders>
              <w:top w:val="single" w:color="4874CB" w:themeColor="accent1" w:sz="6" w:space="0"/>
              <w:left w:val="single" w:color="4874CB" w:themeColor="accent1"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67ACB600">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教师参与培训数量</w:t>
            </w:r>
          </w:p>
          <w:p w14:paraId="76771BE8">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（人天）</w:t>
            </w:r>
          </w:p>
        </w:tc>
        <w:tc>
          <w:tcPr>
            <w:tcW w:w="35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124624D6">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年度</w:t>
            </w:r>
          </w:p>
        </w:tc>
        <w:tc>
          <w:tcPr>
            <w:tcW w:w="787"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42F040F2">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国家级</w:t>
            </w:r>
          </w:p>
          <w:p w14:paraId="6B66DB5F">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培训</w:t>
            </w:r>
          </w:p>
        </w:tc>
        <w:tc>
          <w:tcPr>
            <w:tcW w:w="650"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4B565DAB">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市级培训</w:t>
            </w:r>
          </w:p>
        </w:tc>
        <w:tc>
          <w:tcPr>
            <w:tcW w:w="41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239BCCBE">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区级培训</w:t>
            </w:r>
          </w:p>
        </w:tc>
        <w:tc>
          <w:tcPr>
            <w:tcW w:w="451"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46717F9A">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校本培训</w:t>
            </w:r>
          </w:p>
        </w:tc>
        <w:tc>
          <w:tcPr>
            <w:tcW w:w="787"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477E7545">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其他培训</w:t>
            </w:r>
          </w:p>
        </w:tc>
        <w:tc>
          <w:tcPr>
            <w:tcW w:w="704"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insideV w:val="nil"/>
              <w:tl2br w:val="nil"/>
              <w:tr2bl w:val="nil"/>
            </w:tcBorders>
            <w:shd w:val="clear" w:color="auto" w:fill="4874CB" w:themeFill="accent1"/>
            <w:vAlign w:val="center"/>
          </w:tcPr>
          <w:p w14:paraId="28BB4085">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教师企业实践</w:t>
            </w:r>
          </w:p>
        </w:tc>
      </w:tr>
      <w:tr w14:paraId="2110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continue"/>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2FBF9E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5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665706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787"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B17486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22人10天</w:t>
            </w:r>
          </w:p>
        </w:tc>
        <w:tc>
          <w:tcPr>
            <w:tcW w:w="650"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81352B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32人5天</w:t>
            </w:r>
          </w:p>
        </w:tc>
        <w:tc>
          <w:tcPr>
            <w:tcW w:w="41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D1CF5C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8人18天</w:t>
            </w:r>
          </w:p>
        </w:tc>
        <w:tc>
          <w:tcPr>
            <w:tcW w:w="45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75AE0B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344人6天</w:t>
            </w:r>
          </w:p>
        </w:tc>
        <w:tc>
          <w:tcPr>
            <w:tcW w:w="787" w:type="pct"/>
            <w:gridSpan w:val="2"/>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4B82B5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150人7天</w:t>
            </w:r>
          </w:p>
        </w:tc>
        <w:tc>
          <w:tcPr>
            <w:tcW w:w="704"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46C4E4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18人60天</w:t>
            </w:r>
          </w:p>
        </w:tc>
      </w:tr>
      <w:tr w14:paraId="50BF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766DD9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AEE3AA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78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F8963F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23人10天</w:t>
            </w:r>
          </w:p>
        </w:tc>
        <w:tc>
          <w:tcPr>
            <w:tcW w:w="6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CC156D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8人5天</w:t>
            </w:r>
          </w:p>
        </w:tc>
        <w:tc>
          <w:tcPr>
            <w:tcW w:w="41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881D9F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7人18天</w:t>
            </w:r>
          </w:p>
        </w:tc>
        <w:tc>
          <w:tcPr>
            <w:tcW w:w="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6BE15B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329人6天</w:t>
            </w:r>
          </w:p>
        </w:tc>
        <w:tc>
          <w:tcPr>
            <w:tcW w:w="787"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785766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272人7天</w:t>
            </w:r>
          </w:p>
        </w:tc>
        <w:tc>
          <w:tcPr>
            <w:tcW w:w="704"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2AF7A0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18人60天</w:t>
            </w:r>
          </w:p>
        </w:tc>
      </w:tr>
      <w:tr w14:paraId="0082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C9C687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教师提升级交流情况</w:t>
            </w:r>
          </w:p>
        </w:tc>
        <w:tc>
          <w:tcPr>
            <w:tcW w:w="3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80D00C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年度</w:t>
            </w:r>
          </w:p>
        </w:tc>
        <w:tc>
          <w:tcPr>
            <w:tcW w:w="78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3919C4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学历提升</w:t>
            </w:r>
          </w:p>
          <w:p w14:paraId="722036C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（人）</w:t>
            </w:r>
          </w:p>
        </w:tc>
        <w:tc>
          <w:tcPr>
            <w:tcW w:w="6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9491A6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职称提升（人）</w:t>
            </w:r>
          </w:p>
        </w:tc>
        <w:tc>
          <w:tcPr>
            <w:tcW w:w="1238" w:type="pct"/>
            <w:gridSpan w:val="3"/>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F8245A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区级及以上课题承担数（项）</w:t>
            </w:r>
          </w:p>
        </w:tc>
        <w:tc>
          <w:tcPr>
            <w:tcW w:w="111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0AA869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受邀出校交流经验数（人）</w:t>
            </w:r>
          </w:p>
        </w:tc>
      </w:tr>
      <w:tr w14:paraId="1F07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BC8D0B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DACBDC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78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B7DD41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6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62EE2F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w:t>
            </w:r>
          </w:p>
        </w:tc>
        <w:tc>
          <w:tcPr>
            <w:tcW w:w="1238" w:type="pct"/>
            <w:gridSpan w:val="3"/>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9022F8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w:t>
            </w:r>
          </w:p>
        </w:tc>
        <w:tc>
          <w:tcPr>
            <w:tcW w:w="111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B34D0F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w:t>
            </w:r>
          </w:p>
        </w:tc>
      </w:tr>
      <w:tr w14:paraId="5AE8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F9B6B6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AFE73C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78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598E1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c>
          <w:tcPr>
            <w:tcW w:w="6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97F378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w:t>
            </w:r>
          </w:p>
        </w:tc>
        <w:tc>
          <w:tcPr>
            <w:tcW w:w="1238" w:type="pct"/>
            <w:gridSpan w:val="3"/>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B5AE12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15</w:t>
            </w:r>
          </w:p>
        </w:tc>
        <w:tc>
          <w:tcPr>
            <w:tcW w:w="111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B75104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w:t>
            </w:r>
          </w:p>
        </w:tc>
      </w:tr>
      <w:tr w14:paraId="3BE2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246E87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教师参与科研及社会服务情况</w:t>
            </w:r>
          </w:p>
        </w:tc>
        <w:tc>
          <w:tcPr>
            <w:tcW w:w="352" w:type="pct"/>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BB4B67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年度</w:t>
            </w:r>
          </w:p>
        </w:tc>
        <w:tc>
          <w:tcPr>
            <w:tcW w:w="787" w:type="pct"/>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899A9D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教研成果获奖数（个）</w:t>
            </w:r>
          </w:p>
        </w:tc>
        <w:tc>
          <w:tcPr>
            <w:tcW w:w="1513" w:type="pct"/>
            <w:gridSpan w:val="3"/>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81A209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科研成果数（个）</w:t>
            </w:r>
          </w:p>
        </w:tc>
        <w:tc>
          <w:tcPr>
            <w:tcW w:w="787" w:type="pct"/>
            <w:gridSpan w:val="2"/>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80C682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技术开发成果数（个）</w:t>
            </w:r>
          </w:p>
        </w:tc>
        <w:tc>
          <w:tcPr>
            <w:tcW w:w="704" w:type="pct"/>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1E9EC3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社会服务</w:t>
            </w:r>
          </w:p>
          <w:p w14:paraId="39E0938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成果数（个）</w:t>
            </w:r>
          </w:p>
        </w:tc>
      </w:tr>
      <w:tr w14:paraId="5FEA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D4F6E6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52"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03F975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787"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3628BB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6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84EA2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课题</w:t>
            </w:r>
          </w:p>
        </w:tc>
        <w:tc>
          <w:tcPr>
            <w:tcW w:w="41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E171C0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论文</w:t>
            </w:r>
          </w:p>
        </w:tc>
        <w:tc>
          <w:tcPr>
            <w:tcW w:w="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91FD46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书籍</w:t>
            </w:r>
          </w:p>
        </w:tc>
        <w:tc>
          <w:tcPr>
            <w:tcW w:w="787" w:type="pct"/>
            <w:gridSpan w:val="2"/>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DB0C0E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704"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F46662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r>
      <w:tr w14:paraId="5BA9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74CFF5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B528F3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2023</w:t>
            </w:r>
          </w:p>
        </w:tc>
        <w:tc>
          <w:tcPr>
            <w:tcW w:w="78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1F57B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c>
          <w:tcPr>
            <w:tcW w:w="6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54E5CB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w:t>
            </w:r>
          </w:p>
        </w:tc>
        <w:tc>
          <w:tcPr>
            <w:tcW w:w="41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54BDD1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11</w:t>
            </w:r>
          </w:p>
        </w:tc>
        <w:tc>
          <w:tcPr>
            <w:tcW w:w="4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C2CC07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17</w:t>
            </w:r>
          </w:p>
        </w:tc>
        <w:tc>
          <w:tcPr>
            <w:tcW w:w="787"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331F32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c>
          <w:tcPr>
            <w:tcW w:w="704"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9F7932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46</w:t>
            </w:r>
          </w:p>
        </w:tc>
      </w:tr>
      <w:tr w14:paraId="544D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55" w:type="pct"/>
            <w:vMerge w:val="continue"/>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4CB202C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5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011CF6D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2024</w:t>
            </w:r>
          </w:p>
        </w:tc>
        <w:tc>
          <w:tcPr>
            <w:tcW w:w="787"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3560C9B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22</w:t>
            </w:r>
          </w:p>
        </w:tc>
        <w:tc>
          <w:tcPr>
            <w:tcW w:w="65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3947A48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c>
          <w:tcPr>
            <w:tcW w:w="41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462622F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w:t>
            </w:r>
          </w:p>
        </w:tc>
        <w:tc>
          <w:tcPr>
            <w:tcW w:w="45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3CE8B0B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w:t>
            </w:r>
          </w:p>
        </w:tc>
        <w:tc>
          <w:tcPr>
            <w:tcW w:w="787" w:type="pct"/>
            <w:gridSpan w:val="2"/>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42FE8E3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c>
          <w:tcPr>
            <w:tcW w:w="704"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26455AE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53</w:t>
            </w:r>
          </w:p>
        </w:tc>
      </w:tr>
    </w:tbl>
    <w:p w14:paraId="4E797198">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53" w:name="_Toc25896"/>
      <w:bookmarkStart w:id="154" w:name="_Toc13743"/>
      <w:bookmarkStart w:id="155" w:name="_Toc23695"/>
      <w:r>
        <w:rPr>
          <w:rFonts w:hint="eastAsia"/>
          <w:lang w:val="en-US" w:eastAsia="zh-CN"/>
        </w:rPr>
        <w:t>2.3.5技工学校“三教”改革情况</w:t>
      </w:r>
      <w:bookmarkEnd w:id="153"/>
      <w:bookmarkEnd w:id="154"/>
      <w:bookmarkEnd w:id="155"/>
    </w:p>
    <w:p w14:paraId="4761CB3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一是探索教学方法改革。</w:t>
      </w:r>
      <w:r>
        <w:rPr>
          <w:rFonts w:hint="eastAsia" w:ascii="Times New Roman" w:hAnsi="Times New Roman" w:eastAsia="方正仿宋_GBK" w:cs="Times New Roman"/>
          <w:b w:val="0"/>
          <w:bCs w:val="0"/>
          <w:color w:val="auto"/>
          <w:sz w:val="32"/>
          <w:szCs w:val="32"/>
          <w:lang w:val="en-US" w:eastAsia="zh-CN"/>
        </w:rPr>
        <w:t>从2022年6月开始，校内参照人社部试行的一体化人才培养方案和课程标准，根据专业、师资配备及实训基地建设情况，在城市轨道交通运输与管理、电气自动化设备安装与维修（电梯方向）、电子技术应用、汽车维修技术四个专业进行一体化课程改革，制定了校内一体化教学规范文件。通过“做中学，学中做”的学习模式，改变“要我学”被动接受式为“我要学”的主动方式。学生心态转变，快乐学习，学习快乐。学校将实训室建成一体化教学实训室，定期开展技能大赛，检验学生学习成果，有利于教学质量的提升。2023-2024年学年度，学校重点打造汽车维修专业作为重庆市市级技工院校的一体化教学改革专业，从新能源汽车制造与维修培养一体化教学师资。</w:t>
      </w:r>
      <w:r>
        <w:rPr>
          <w:rFonts w:hint="eastAsia" w:ascii="Times New Roman" w:hAnsi="Times New Roman" w:eastAsia="方正楷体_GBK" w:cs="Times New Roman"/>
          <w:color w:val="auto"/>
          <w:sz w:val="32"/>
          <w:szCs w:val="32"/>
          <w:lang w:val="en-US" w:eastAsia="zh-CN"/>
        </w:rPr>
        <w:t>二是狠抓教材建设质量。</w:t>
      </w:r>
      <w:r>
        <w:rPr>
          <w:rFonts w:hint="eastAsia" w:ascii="Times New Roman" w:hAnsi="Times New Roman" w:eastAsia="方正仿宋_GBK" w:cs="Times New Roman"/>
          <w:b w:val="0"/>
          <w:bCs w:val="0"/>
          <w:color w:val="auto"/>
          <w:sz w:val="32"/>
          <w:szCs w:val="32"/>
          <w:lang w:val="en-US" w:eastAsia="zh-CN"/>
        </w:rPr>
        <w:t>学校严格按照教学计划进行课程安排，教材使用国家部颁版本。按照市人社局的要求，尽量征订、使用人社部颁国家级规划教材。同时，学校根据学生情况，教师积极参与校本教材的开发和教材的主编。张洁副校长主编的《信息技术》，在全国中职学校或技工院校得到广泛使用，教材采用一体化教学的模块，进行章节的分解，知识点的渗入。另外，学校积极开发校本教材，校本教材是学校将来的改革方向，教师可以通过编写校本教材，反思教学过程中的问题，促进教师之间的交流，提高学生的学习兴趣，发挥学生的主动性和创造性，有利于建立精品课程。重视师资队伍建设，学校现有</w:t>
      </w:r>
      <w:r>
        <w:rPr>
          <w:rFonts w:hint="default" w:ascii="Times New Roman" w:hAnsi="Times New Roman" w:eastAsia="方正仿宋_GBK" w:cs="Times New Roman"/>
          <w:b w:val="0"/>
          <w:bCs w:val="0"/>
          <w:color w:val="auto"/>
          <w:sz w:val="32"/>
          <w:szCs w:val="32"/>
          <w:lang w:val="en-US" w:eastAsia="zh-CN"/>
        </w:rPr>
        <w:t>专兼职教师</w:t>
      </w:r>
      <w:r>
        <w:rPr>
          <w:rFonts w:hint="eastAsia" w:ascii="Times New Roman" w:hAnsi="Times New Roman" w:eastAsia="方正仿宋_GBK" w:cs="Times New Roman"/>
          <w:b w:val="0"/>
          <w:bCs w:val="0"/>
          <w:color w:val="auto"/>
          <w:sz w:val="32"/>
          <w:szCs w:val="32"/>
          <w:lang w:val="en-US" w:eastAsia="zh-CN"/>
        </w:rPr>
        <w:t>251</w:t>
      </w:r>
      <w:r>
        <w:rPr>
          <w:rFonts w:hint="default" w:ascii="Times New Roman" w:hAnsi="Times New Roman" w:eastAsia="方正仿宋_GBK" w:cs="Times New Roman"/>
          <w:b w:val="0"/>
          <w:bCs w:val="0"/>
          <w:color w:val="auto"/>
          <w:sz w:val="32"/>
          <w:szCs w:val="32"/>
          <w:lang w:val="en-US" w:eastAsia="zh-CN"/>
        </w:rPr>
        <w:t>人。</w:t>
      </w:r>
      <w:r>
        <w:rPr>
          <w:rFonts w:hint="eastAsia" w:ascii="Times New Roman" w:hAnsi="Times New Roman" w:eastAsia="方正仿宋_GBK" w:cs="Times New Roman"/>
          <w:b w:val="0"/>
          <w:bCs w:val="0"/>
          <w:color w:val="auto"/>
          <w:sz w:val="32"/>
          <w:szCs w:val="32"/>
          <w:lang w:val="en-US" w:eastAsia="zh-CN"/>
        </w:rPr>
        <w:t>一体化素养教师有86人，占专业专任教师166人的52%，双师型教师新增比起去年新增较大，</w:t>
      </w:r>
      <w:r>
        <w:rPr>
          <w:rFonts w:hint="default" w:ascii="Times New Roman" w:hAnsi="Times New Roman" w:eastAsia="方正仿宋_GBK" w:cs="Times New Roman"/>
          <w:b w:val="0"/>
          <w:bCs w:val="0"/>
          <w:color w:val="auto"/>
          <w:sz w:val="32"/>
          <w:szCs w:val="32"/>
          <w:lang w:val="en-US" w:eastAsia="zh-CN"/>
        </w:rPr>
        <w:t>教师任职条件符合相关要求。</w:t>
      </w:r>
      <w:r>
        <w:rPr>
          <w:rFonts w:hint="eastAsia" w:ascii="Times New Roman" w:hAnsi="Times New Roman" w:eastAsia="方正仿宋_GBK" w:cs="Times New Roman"/>
          <w:b w:val="0"/>
          <w:bCs w:val="0"/>
          <w:color w:val="auto"/>
          <w:sz w:val="32"/>
          <w:szCs w:val="32"/>
          <w:lang w:val="en-US" w:eastAsia="zh-CN"/>
        </w:rPr>
        <w:t>三是多维度培养教师队伍。学校十分重视教师队伍能力提升，大力支持教职工培训，2023-2024学年度年组织教师参加国家级培训8人次；市级培训130人次；校本培训820人次；其他培训60人次；教师企业实践60人次。并且制定鼓励措施，鼓励教职工运用自己的专业优势和人际关系资源，开办小微企业，给学生提供典范的力量，学校护理专业教师就有多人从企业来，他们的课生动活泼，深受学生欢迎；鼓励局部教师到新型企业兼职，学习先进的商业理念，积累实战经历，可以打破传统教学模式，为课堂教学注入鲜活的内容。整合社会资源，不定期聘请商界校友到校担任兼职教师。他们具有理论和实践知识，懂得如何通过自己的努力去创办企业。定期邀请三菱电梯高级工程师到校担任兼职教师，做专业建设指导。校企合作，开门办学，有利于开阔学生视野、积累人脉、培养创业素质与能力，为将来创业打下根底。四是跟进就业政策，鼓励师生创业。建立鼓励师生创业的有关政策和制度，学校电子商务及计算机相</w:t>
      </w:r>
      <w:r>
        <w:rPr>
          <w:rFonts w:hint="eastAsia" w:ascii="Times New Roman" w:hAnsi="Times New Roman" w:eastAsia="方正仿宋_GBK" w:cs="Times New Roman"/>
          <w:color w:val="auto"/>
          <w:sz w:val="32"/>
          <w:szCs w:val="32"/>
          <w:lang w:val="en-US" w:eastAsia="zh-CN"/>
        </w:rPr>
        <w:t>关专业利用抖音、新媒体运营品台，进行电商销售手工作品尝试，建立一个有利于创业意识和能力的培养和实践的综合平台，同时也要建立合理的评价制度和鼓励机制。 注重实践，采用体验式教学法，增加学生参与教学的程度，多安排讨论课、专题汇报、参观、调查和相互交流等教学形式 通过学生的亲身体验，观察与反思，操</w:t>
      </w:r>
      <w:r>
        <w:rPr>
          <w:rFonts w:hint="eastAsia" w:ascii="Times New Roman" w:hAnsi="Times New Roman" w:eastAsia="方正仿宋_GBK" w:cs="Times New Roman"/>
          <w:b w:val="0"/>
          <w:bCs w:val="0"/>
          <w:color w:val="auto"/>
          <w:sz w:val="32"/>
          <w:szCs w:val="32"/>
          <w:lang w:val="en-US" w:eastAsia="zh-CN"/>
        </w:rPr>
        <w:t>作与实践等活动来全方位锻炼，从而提升学生的学习能力和创业能力。五是积极参与各项技能大赛。为深化职业教育课堂教学改革，激发学生的学习热情，提升学生的技能水平，增强学生的实践能力，提高学生在职场的核心竞争力，学校定期举办技能大赛，以竞赛促进</w:t>
      </w:r>
      <w:r>
        <w:rPr>
          <w:rFonts w:hint="eastAsia" w:ascii="Times New Roman" w:hAnsi="Times New Roman" w:eastAsia="方正仿宋_GBK" w:cs="Times New Roman"/>
          <w:color w:val="auto"/>
          <w:sz w:val="32"/>
          <w:szCs w:val="32"/>
          <w:lang w:val="en-US" w:eastAsia="zh-CN"/>
        </w:rPr>
        <w:t>教学，提升技能，服务社会。在今年的职教周活动中，同学们的专业和技能成果展示，不仅宣传了职业教育改革发展的成就，鼓励学生发扬工匠精神，磨练专业技能，同时展示了学生们扎实的专业功底和创新能力，增强了职业教育的吸引力，也让每位学生体验了技能给生活带来的美好，充分展示了新时代职业教育的新风貌。坚持立德树人，不忘教育初心，为全面加强师生思想道德建设，提高全校师生的专业技能，今年学校组织师生参加多项技能大赛并取得优异成绩。</w:t>
      </w:r>
    </w:p>
    <w:p w14:paraId="1F67EB0F">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56" w:name="_Toc6097"/>
      <w:bookmarkStart w:id="157" w:name="_Toc30176"/>
      <w:bookmarkStart w:id="158" w:name="_Toc12391"/>
      <w:r>
        <w:rPr>
          <w:rFonts w:hint="eastAsia"/>
          <w:lang w:val="en-US" w:eastAsia="zh-CN"/>
        </w:rPr>
        <w:t>2.3.6特教中心“三教”改革情况</w:t>
      </w:r>
      <w:bookmarkEnd w:id="156"/>
      <w:bookmarkEnd w:id="157"/>
      <w:bookmarkEnd w:id="158"/>
    </w:p>
    <w:p w14:paraId="422C4DD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一是教法改革。</w:t>
      </w:r>
      <w:r>
        <w:rPr>
          <w:rFonts w:hint="eastAsia" w:ascii="Times New Roman" w:hAnsi="Times New Roman" w:eastAsia="方正仿宋_GBK" w:cs="Times New Roman"/>
          <w:b w:val="0"/>
          <w:bCs w:val="0"/>
          <w:color w:val="auto"/>
          <w:sz w:val="32"/>
          <w:szCs w:val="32"/>
          <w:lang w:val="en-US" w:eastAsia="zh-CN"/>
        </w:rPr>
        <w:t>定期召开职高教研组会，持续推进教学设计与教学内容革新，使其紧密贴合中医康复技术专业和视障学生特点，引导教师在教学组织和实施上更具灵活性，采取多种教学方法，采购并更新教学辅具，补偿视障学生学习渠道。</w:t>
      </w:r>
      <w:r>
        <w:rPr>
          <w:rFonts w:hint="eastAsia" w:ascii="Times New Roman" w:hAnsi="Times New Roman" w:eastAsia="方正楷体_GBK" w:cs="Times New Roman"/>
          <w:color w:val="auto"/>
          <w:sz w:val="32"/>
          <w:szCs w:val="32"/>
          <w:lang w:val="en-US" w:eastAsia="zh-CN"/>
        </w:rPr>
        <w:t>二是教材建设。</w:t>
      </w:r>
      <w:r>
        <w:rPr>
          <w:rFonts w:hint="eastAsia" w:ascii="Times New Roman" w:hAnsi="Times New Roman" w:eastAsia="方正仿宋_GBK" w:cs="Times New Roman"/>
          <w:b w:val="0"/>
          <w:bCs w:val="0"/>
          <w:color w:val="auto"/>
          <w:sz w:val="32"/>
          <w:szCs w:val="32"/>
          <w:lang w:val="en-US" w:eastAsia="zh-CN"/>
        </w:rPr>
        <w:t>严格教材选用标准，更新中职三科教材，为教学提供有力支撑。</w:t>
      </w:r>
      <w:r>
        <w:rPr>
          <w:rFonts w:hint="eastAsia" w:ascii="Times New Roman" w:hAnsi="Times New Roman" w:eastAsia="方正楷体_GBK" w:cs="Times New Roman"/>
          <w:color w:val="auto"/>
          <w:sz w:val="32"/>
          <w:szCs w:val="32"/>
          <w:lang w:val="en-US" w:eastAsia="zh-CN"/>
        </w:rPr>
        <w:t>三是师资建设。</w:t>
      </w:r>
      <w:r>
        <w:rPr>
          <w:rFonts w:hint="eastAsia" w:ascii="Times New Roman" w:hAnsi="Times New Roman" w:eastAsia="方正仿宋_GBK" w:cs="Times New Roman"/>
          <w:b w:val="0"/>
          <w:bCs w:val="0"/>
          <w:color w:val="auto"/>
          <w:sz w:val="32"/>
          <w:szCs w:val="32"/>
          <w:lang w:val="en-US" w:eastAsia="zh-CN"/>
        </w:rPr>
        <w:t>持续加强教师师德师风建设，加强教育家精</w:t>
      </w:r>
      <w:r>
        <w:rPr>
          <w:rFonts w:hint="eastAsia" w:ascii="Times New Roman" w:hAnsi="Times New Roman" w:eastAsia="方正仿宋_GBK" w:cs="Times New Roman"/>
          <w:color w:val="auto"/>
          <w:sz w:val="32"/>
          <w:szCs w:val="32"/>
          <w:lang w:val="en-US" w:eastAsia="zh-CN"/>
        </w:rPr>
        <w:t>神宣讲，提升教师职业道德素养。鼓励教师积极参加市区级相关培训和教学教研活动等，多途径提升教师实践教学能力和教科研水平，鼓励任课教师向双师型教师发展。</w:t>
      </w:r>
    </w:p>
    <w:p w14:paraId="75F77BA5">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59" w:name="_Toc25732"/>
      <w:bookmarkStart w:id="160" w:name="_Toc26917"/>
      <w:bookmarkStart w:id="161" w:name="_Toc6526"/>
      <w:r>
        <w:rPr>
          <w:rFonts w:hint="eastAsia"/>
          <w:lang w:val="en-US" w:eastAsia="zh-CN"/>
        </w:rPr>
        <w:t>2.4信息化建设</w:t>
      </w:r>
      <w:bookmarkEnd w:id="159"/>
      <w:bookmarkEnd w:id="160"/>
      <w:bookmarkEnd w:id="161"/>
    </w:p>
    <w:p w14:paraId="3B2BA5AF">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62" w:name="_Toc21164"/>
      <w:bookmarkStart w:id="163" w:name="_Toc11265"/>
      <w:bookmarkStart w:id="164" w:name="_Toc12206"/>
      <w:r>
        <w:rPr>
          <w:rFonts w:hint="eastAsia"/>
          <w:lang w:val="en-US" w:eastAsia="zh-CN"/>
        </w:rPr>
        <w:t>2.4.1校园信息化建设情况</w:t>
      </w:r>
      <w:bookmarkEnd w:id="162"/>
      <w:bookmarkEnd w:id="163"/>
      <w:bookmarkEnd w:id="164"/>
    </w:p>
    <w:p w14:paraId="0F4AE74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教育部于2023年7月下发了关于加快推进现代职业教育体系建设改革重点任务的通知，计划到2025年建成300所左右全国性信息化标杆学校，推动信息技术与职业院校办学深度融合。南岸区将建设智慧校园作为打造信息化标杆学校的主要抓手，指导学校进行“智慧龙职”建设，从PC时代向移动互联网时代转型，建立统一的基座平台，从底层打通各个系统之间的连接，实现高效的协同能力。2024年南岸区委属公办中职学校出口总带宽500Mbps，校园网主干最大带宽1000Mbps，有OA办公系统、教务管理系统、钉钉、教务管理系统三个管理信息系统，多媒体教室数增加4个为138个、占比为100%，教学用计算机2380台，百名学生配计算机占比38.1%。中职学校通过部署钉钉生态的智能硬件终端产品，实现“一网通办”、“一脸通刷”和“一眼通晓”，形成面向全校师生唯一服务入口的移动智能办公、沟通与协同的平台，建立校园生活即时通讯体系，满足校园生活的即时通讯与交流需求，统一了移动应用接入平台，实现学校移动应用与服务的整合与开发。</w:t>
      </w:r>
    </w:p>
    <w:p w14:paraId="57A3F20B">
      <w:pPr>
        <w:pStyle w:val="38"/>
        <w:bidi w:val="0"/>
        <w:rPr>
          <w:rFonts w:hint="eastAsia"/>
          <w:lang w:val="en-US" w:eastAsia="zh-CN"/>
        </w:rPr>
      </w:pPr>
      <w:bookmarkStart w:id="165" w:name="_Toc29066"/>
      <w:r>
        <w:rPr>
          <w:rFonts w:hint="eastAsia"/>
          <w:lang w:val="en-US" w:eastAsia="zh-CN"/>
        </w:rPr>
        <w:t xml:space="preserve">表9 </w:t>
      </w:r>
      <w:r>
        <w:rPr>
          <w:rFonts w:hint="eastAsia"/>
        </w:rPr>
        <w:t>中职学校</w:t>
      </w:r>
      <w:r>
        <w:rPr>
          <w:rFonts w:hint="eastAsia"/>
          <w:lang w:val="en-US" w:eastAsia="zh-CN"/>
        </w:rPr>
        <w:t>信息化条件建设情况一览表</w:t>
      </w:r>
      <w:bookmarkEnd w:id="165"/>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2"/>
        <w:gridCol w:w="1067"/>
        <w:gridCol w:w="1217"/>
        <w:gridCol w:w="800"/>
        <w:gridCol w:w="1450"/>
        <w:gridCol w:w="750"/>
        <w:gridCol w:w="896"/>
        <w:gridCol w:w="1079"/>
        <w:gridCol w:w="1080"/>
      </w:tblGrid>
      <w:tr w14:paraId="1A0AD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98" w:type="pct"/>
            <w:vMerge w:val="restar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4BCEE959">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年度</w:t>
            </w:r>
          </w:p>
        </w:tc>
        <w:tc>
          <w:tcPr>
            <w:tcW w:w="588"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711810F3">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出口总带宽（Mbps）</w:t>
            </w:r>
          </w:p>
        </w:tc>
        <w:tc>
          <w:tcPr>
            <w:tcW w:w="671"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4A7A8987">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校园网主干最大带宽（Mbps）</w:t>
            </w:r>
          </w:p>
        </w:tc>
        <w:tc>
          <w:tcPr>
            <w:tcW w:w="1241"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489D9592">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现有管理信息系统总量（软件系统）</w:t>
            </w:r>
          </w:p>
        </w:tc>
        <w:tc>
          <w:tcPr>
            <w:tcW w:w="908"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355FECBD">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多媒体教室数（个）</w:t>
            </w:r>
          </w:p>
        </w:tc>
        <w:tc>
          <w:tcPr>
            <w:tcW w:w="595"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0BEEA602">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教学用计算机总数（台）</w:t>
            </w:r>
          </w:p>
        </w:tc>
        <w:tc>
          <w:tcPr>
            <w:tcW w:w="595"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00E1E478">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百名学生配计算机台数（台）</w:t>
            </w:r>
          </w:p>
        </w:tc>
      </w:tr>
      <w:tr w14:paraId="4CEDA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98" w:type="pct"/>
            <w:vMerge w:val="continue"/>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B76F7A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588"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7F6D96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71"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388E0D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44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BB72E8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总数（个）</w:t>
            </w:r>
          </w:p>
        </w:tc>
        <w:tc>
          <w:tcPr>
            <w:tcW w:w="800"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6CE524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名称</w:t>
            </w:r>
          </w:p>
        </w:tc>
        <w:tc>
          <w:tcPr>
            <w:tcW w:w="41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B5B981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数量</w:t>
            </w:r>
          </w:p>
          <w:p w14:paraId="2F87700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（台）</w:t>
            </w:r>
          </w:p>
        </w:tc>
        <w:tc>
          <w:tcPr>
            <w:tcW w:w="494"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3AC501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比例</w:t>
            </w:r>
          </w:p>
          <w:p w14:paraId="19FC905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95"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1256E9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595" w:type="pct"/>
            <w:vMerge w:val="continue"/>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08C853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r>
      <w:tr w14:paraId="19A64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DD77B8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2023</w:t>
            </w:r>
          </w:p>
        </w:tc>
        <w:tc>
          <w:tcPr>
            <w:tcW w:w="58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9F82D0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500</w:t>
            </w:r>
          </w:p>
        </w:tc>
        <w:tc>
          <w:tcPr>
            <w:tcW w:w="67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595699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1000</w:t>
            </w:r>
          </w:p>
        </w:tc>
        <w:tc>
          <w:tcPr>
            <w:tcW w:w="44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49F5EF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w:t>
            </w:r>
          </w:p>
        </w:tc>
        <w:tc>
          <w:tcPr>
            <w:tcW w:w="80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1F61DC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OA办公系统、教务管理系统、钉钉</w:t>
            </w:r>
          </w:p>
        </w:tc>
        <w:tc>
          <w:tcPr>
            <w:tcW w:w="41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06A95E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134</w:t>
            </w:r>
          </w:p>
        </w:tc>
        <w:tc>
          <w:tcPr>
            <w:tcW w:w="49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9DF87C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100</w:t>
            </w:r>
          </w:p>
        </w:tc>
        <w:tc>
          <w:tcPr>
            <w:tcW w:w="59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37B514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2380</w:t>
            </w:r>
          </w:p>
        </w:tc>
        <w:tc>
          <w:tcPr>
            <w:tcW w:w="59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32CCE7C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36.6</w:t>
            </w:r>
          </w:p>
        </w:tc>
      </w:tr>
      <w:tr w14:paraId="182A5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98"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431F4EB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2024</w:t>
            </w:r>
          </w:p>
        </w:tc>
        <w:tc>
          <w:tcPr>
            <w:tcW w:w="58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6D147B0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500</w:t>
            </w:r>
          </w:p>
        </w:tc>
        <w:tc>
          <w:tcPr>
            <w:tcW w:w="67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797BB32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1000</w:t>
            </w:r>
          </w:p>
        </w:tc>
        <w:tc>
          <w:tcPr>
            <w:tcW w:w="44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12262C9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w:t>
            </w:r>
          </w:p>
        </w:tc>
        <w:tc>
          <w:tcPr>
            <w:tcW w:w="80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5AFA9AB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OA办公系统、教务管理系统、钉钉</w:t>
            </w:r>
          </w:p>
        </w:tc>
        <w:tc>
          <w:tcPr>
            <w:tcW w:w="41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0DDE7F8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138</w:t>
            </w:r>
          </w:p>
        </w:tc>
        <w:tc>
          <w:tcPr>
            <w:tcW w:w="494"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42AC6CC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100</w:t>
            </w:r>
          </w:p>
        </w:tc>
        <w:tc>
          <w:tcPr>
            <w:tcW w:w="59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1118C6C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2380</w:t>
            </w:r>
          </w:p>
        </w:tc>
        <w:tc>
          <w:tcPr>
            <w:tcW w:w="595"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634C80D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38.1</w:t>
            </w:r>
          </w:p>
        </w:tc>
      </w:tr>
    </w:tbl>
    <w:p w14:paraId="0D0E1DFA">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66" w:name="_Toc29015"/>
      <w:bookmarkStart w:id="167" w:name="_Toc1911"/>
      <w:bookmarkStart w:id="168" w:name="_Toc2803"/>
      <w:bookmarkStart w:id="169" w:name="_Toc4539"/>
      <w:r>
        <w:rPr>
          <w:rFonts w:hint="eastAsia"/>
          <w:lang w:val="en-US" w:eastAsia="zh-CN"/>
        </w:rPr>
        <w:t>2.4.2数字资源建设</w:t>
      </w:r>
      <w:bookmarkEnd w:id="166"/>
      <w:bookmarkEnd w:id="167"/>
      <w:bookmarkEnd w:id="168"/>
      <w:bookmarkEnd w:id="169"/>
    </w:p>
    <w:p w14:paraId="30578A5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多方面提升校园信息化服务能力，建设数字化校园。积极引进数字化教学相关技术与设备支持，完善龙门云课堂课程资源，为师生开展线上学习提供技术支持；教室配备希沃白板和相关教学资源；探索职教云平台、学习通、umu教学互动平台建设，为教师提供个性与共性指导；通过打造课程资源开发中心及融媒体中心为数字资源的开发提供技术支持。</w:t>
      </w:r>
    </w:p>
    <w:p w14:paraId="3B381915">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70" w:name="_Toc2223"/>
      <w:bookmarkStart w:id="171" w:name="_Toc17629"/>
      <w:bookmarkStart w:id="172" w:name="_Toc13348"/>
      <w:bookmarkStart w:id="173" w:name="_Toc7001"/>
      <w:r>
        <w:rPr>
          <w:rFonts w:hint="eastAsia"/>
          <w:lang w:val="en-US" w:eastAsia="zh-CN"/>
        </w:rPr>
        <w:t>2.4.3有序规范推动师生信息化运用</w:t>
      </w:r>
      <w:bookmarkEnd w:id="170"/>
      <w:bookmarkEnd w:id="171"/>
      <w:bookmarkEnd w:id="172"/>
      <w:bookmarkEnd w:id="173"/>
    </w:p>
    <w:p w14:paraId="74B4AD1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方正仿宋_GBK" w:hAnsi="Times New Roman" w:eastAsia="方正仿宋_GBK"/>
          <w:color w:val="0070C0"/>
          <w:sz w:val="32"/>
          <w:szCs w:val="32"/>
        </w:rPr>
      </w:pPr>
      <w:r>
        <w:rPr>
          <w:rFonts w:hint="eastAsia" w:ascii="Times New Roman" w:hAnsi="Times New Roman" w:eastAsia="方正仿宋_GBK" w:cs="Times New Roman"/>
          <w:color w:val="auto"/>
          <w:sz w:val="32"/>
          <w:szCs w:val="32"/>
          <w:lang w:val="en-US" w:eastAsia="zh-CN"/>
        </w:rPr>
        <w:t>南岸区以钉钉生态系的在线教学系统部署龙门云课堂，为师生打造一个集知识创建、内容沉淀、信息触达、教学行为跟踪为一体的学校在线教学管理平台，具备数据中心、学习中心、测练中心、运营中心、师资管理等功能模块，基本实现在线教学的数字化转型。完成重庆市教师数字素养提升示范学校培育项目的实施工作，通过采取集中培训、在线培训、应用实践的混合式研修方式，重点提升教师应用人工智能、大数据等现代信息技术变革和创新教育教学模式的能力，通过数字化网络平台支持的数字化服务与资源管理，生成了一批应用效果好、融合创新程度高、可迁移、能辐射的信息化教学创新案例，培养打造一支信息化教学创新骨干力量。出台《教育技术专家委员会工作方案》，通过专家委员会有序推动教师数字化运用能力，充分发挥现代教育技术在教学中的作用，提升学校教职员工的信息化应用水平。</w:t>
      </w:r>
    </w:p>
    <w:p w14:paraId="0F130AC4">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74" w:name="_Toc21853"/>
      <w:bookmarkStart w:id="175" w:name="_Toc10650"/>
      <w:bookmarkStart w:id="176" w:name="_Toc20580"/>
      <w:r>
        <w:rPr>
          <w:rFonts w:hint="eastAsia"/>
          <w:lang w:val="en-US" w:eastAsia="zh-CN"/>
        </w:rPr>
        <w:t>2.4.4技工学校信息化建设情况</w:t>
      </w:r>
      <w:bookmarkEnd w:id="174"/>
      <w:bookmarkEnd w:id="175"/>
      <w:bookmarkEnd w:id="176"/>
    </w:p>
    <w:p w14:paraId="292C733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学校加强数字化校园建设、教学管理信息化、增设信息化教室，多媒体教室达到55个，教学计算机达到450台。构建专业教学资源库，搭建多层次、多终端、智能化、开放式的数字化教学资源平台，实现教学资源和多终端资源互动的突破。数字化资源涵盖了党建思政、爱国主义教育、专业资源、电子图书、时政信息、精品课程等全方位的数字化资源。以思政为例，包含了思想道德与法治、社会主义核心价值观、心理健康等思政教学资源。教师和学生可以进入网页进行搜索，浏览，获取需要的教育教学资源。本年度电子图书新增5938册在电子阅览室。涵盖了军事、历史、地理、哲学、法律、文学及专业课程的图书资源。打造了校园图书数字阅览室。数字化建设是学校建设的任务之一，将来将加大投入，对阅览室进行改造，加大数字资源的扩建，和高校进行资源共享，丰富数字化资源的种类、数目，使资源共享上升新高度。</w:t>
      </w:r>
    </w:p>
    <w:p w14:paraId="50A509A6">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77" w:name="_Toc7396"/>
      <w:bookmarkStart w:id="178" w:name="_Toc2237"/>
      <w:bookmarkStart w:id="179" w:name="_Toc8972"/>
      <w:r>
        <w:rPr>
          <w:rFonts w:hint="eastAsia"/>
          <w:lang w:val="en-US" w:eastAsia="zh-CN"/>
        </w:rPr>
        <w:t>2.4.5特教中心信息化建设情况</w:t>
      </w:r>
      <w:bookmarkEnd w:id="177"/>
      <w:bookmarkEnd w:id="178"/>
      <w:bookmarkEnd w:id="179"/>
    </w:p>
    <w:p w14:paraId="68966F0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一是数字化校园建设。</w:t>
      </w:r>
      <w:r>
        <w:rPr>
          <w:rFonts w:hint="eastAsia" w:ascii="Times New Roman" w:hAnsi="Times New Roman" w:eastAsia="方正仿宋_GBK" w:cs="Times New Roman"/>
          <w:b w:val="0"/>
          <w:bCs w:val="0"/>
          <w:color w:val="auto"/>
          <w:sz w:val="32"/>
          <w:szCs w:val="32"/>
          <w:lang w:val="en-US" w:eastAsia="zh-CN"/>
        </w:rPr>
        <w:t>构建了较为完善的校园网络基础设施，基本实现了校园无线网络全覆盖，为教师提供便捷稳定的教学网络环境。</w:t>
      </w:r>
      <w:r>
        <w:rPr>
          <w:rFonts w:hint="eastAsia" w:ascii="Times New Roman" w:hAnsi="Times New Roman" w:eastAsia="方正楷体_GBK" w:cs="Times New Roman"/>
          <w:color w:val="auto"/>
          <w:sz w:val="32"/>
          <w:szCs w:val="32"/>
          <w:lang w:val="en-US" w:eastAsia="zh-CN"/>
        </w:rPr>
        <w:t>二是教学管理信息化。</w:t>
      </w:r>
      <w:r>
        <w:rPr>
          <w:rFonts w:hint="eastAsia" w:ascii="Times New Roman" w:hAnsi="Times New Roman" w:eastAsia="方正仿宋_GBK" w:cs="Times New Roman"/>
          <w:b w:val="0"/>
          <w:bCs w:val="0"/>
          <w:color w:val="auto"/>
          <w:sz w:val="32"/>
          <w:szCs w:val="32"/>
          <w:lang w:val="en-US" w:eastAsia="zh-CN"/>
        </w:rPr>
        <w:t>根据视障学生学习特点，学校附设中职班部分课程在教学时会采用信息化方式，如电子化盲文系统、试卷制作、作业布置等。</w:t>
      </w:r>
      <w:r>
        <w:rPr>
          <w:rFonts w:hint="eastAsia" w:ascii="Times New Roman" w:hAnsi="Times New Roman" w:eastAsia="方正楷体_GBK" w:cs="Times New Roman"/>
          <w:color w:val="auto"/>
          <w:sz w:val="32"/>
          <w:szCs w:val="32"/>
          <w:lang w:val="en-US" w:eastAsia="zh-CN"/>
        </w:rPr>
        <w:t>三是师生信息化应用水平提升。</w:t>
      </w:r>
      <w:r>
        <w:rPr>
          <w:rFonts w:hint="eastAsia" w:ascii="Times New Roman" w:hAnsi="Times New Roman" w:eastAsia="方正仿宋_GBK" w:cs="Times New Roman"/>
          <w:b w:val="0"/>
          <w:bCs w:val="0"/>
          <w:color w:val="auto"/>
          <w:sz w:val="32"/>
          <w:szCs w:val="32"/>
          <w:lang w:val="en-US" w:eastAsia="zh-CN"/>
        </w:rPr>
        <w:t>学校开展了多层次、多形式的培训活动。针</w:t>
      </w:r>
      <w:r>
        <w:rPr>
          <w:rFonts w:hint="eastAsia" w:ascii="Times New Roman" w:hAnsi="Times New Roman" w:eastAsia="方正仿宋_GBK" w:cs="Times New Roman"/>
          <w:color w:val="auto"/>
          <w:sz w:val="32"/>
          <w:szCs w:val="32"/>
          <w:lang w:val="en-US" w:eastAsia="zh-CN"/>
        </w:rPr>
        <w:t>对教师，定期组织信息化教学能力培训，内容包括教学平台使用、课件制作、在线课程设计与开发等。对于学生，开设了信息技术公共基础课程，并在专业课程教学中融入信息化应用技能培养，提高学生运用信息技术解决实际问题的能力。</w:t>
      </w:r>
    </w:p>
    <w:p w14:paraId="39BE22D7">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80" w:name="_Toc1129"/>
      <w:bookmarkStart w:id="181" w:name="_Toc31414"/>
      <w:bookmarkStart w:id="182" w:name="_Toc14096"/>
      <w:r>
        <w:rPr>
          <w:rFonts w:hint="eastAsia"/>
          <w:lang w:val="en-US" w:eastAsia="zh-CN"/>
        </w:rPr>
        <w:t>2.5毕业去向落实</w:t>
      </w:r>
      <w:bookmarkEnd w:id="180"/>
      <w:bookmarkEnd w:id="181"/>
      <w:bookmarkEnd w:id="182"/>
    </w:p>
    <w:p w14:paraId="19B2401C">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83" w:name="_Toc2724"/>
      <w:bookmarkStart w:id="184" w:name="_Toc12145"/>
      <w:bookmarkStart w:id="185" w:name="_Toc27128"/>
      <w:r>
        <w:rPr>
          <w:rFonts w:hint="eastAsia"/>
          <w:lang w:val="en-US" w:eastAsia="zh-CN"/>
        </w:rPr>
        <w:t>2.5.1就业质量</w:t>
      </w:r>
      <w:bookmarkEnd w:id="183"/>
      <w:bookmarkEnd w:id="184"/>
      <w:bookmarkEnd w:id="185"/>
    </w:p>
    <w:p w14:paraId="3518A3D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2024年委属公办中职学校毕业生人数2139，升学人数1992，直接就业人数147占比6.87%，对口就业人数147，对口就业率100%。毕业生服务第三产业人数147人，其中本地134人异地13人。毕业生平均起薪2873元。本区域就业率达到91.16％，专业对口就业率达到100％，用人单位对就业学生满意率为98％。</w:t>
      </w:r>
    </w:p>
    <w:p w14:paraId="67878B5C">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86" w:name="_Toc4586"/>
      <w:bookmarkStart w:id="187" w:name="_Toc14467"/>
      <w:bookmarkStart w:id="188" w:name="_Toc7740"/>
      <w:r>
        <w:rPr>
          <w:rFonts w:hint="eastAsia"/>
          <w:lang w:val="en-US" w:eastAsia="zh-CN"/>
        </w:rPr>
        <w:t>2.5.2升学情况</w:t>
      </w:r>
      <w:bookmarkEnd w:id="186"/>
      <w:bookmarkEnd w:id="187"/>
      <w:bookmarkEnd w:id="188"/>
    </w:p>
    <w:p w14:paraId="798F3B7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2024年委属公办中职学校升学班45个，升学总人数1992人，其中16个为对口升学高考班，2个为艺术类（美术绘画）高考班。3+2、3+4、专本贯通类培养升学1379人。高职对口升学613人，其中高职对口升学本科118人，本科升学率23.18%，高出市本科率20.14%；专本贯通本科11人，本科升学率24.44%；“3+4”本科转段合格106人；2024届美术绘画本科上线47人较去年有大幅提升。中职学校本科上线288人，另有技工学校本科上线1人。</w:t>
      </w:r>
    </w:p>
    <w:p w14:paraId="43DD7BFD">
      <w:pPr>
        <w:pStyle w:val="38"/>
        <w:bidi w:val="0"/>
        <w:rPr>
          <w:rFonts w:hint="eastAsia"/>
          <w:lang w:val="en-US" w:eastAsia="zh-CN"/>
        </w:rPr>
      </w:pPr>
      <w:bookmarkStart w:id="189" w:name="_Toc249"/>
      <w:r>
        <w:rPr>
          <w:rFonts w:hint="eastAsia"/>
          <w:lang w:val="en-US" w:eastAsia="zh-CN"/>
        </w:rPr>
        <w:t xml:space="preserve">表10 </w:t>
      </w:r>
      <w:r>
        <w:rPr>
          <w:rFonts w:hint="eastAsia"/>
        </w:rPr>
        <w:t>中职学校</w:t>
      </w:r>
      <w:r>
        <w:rPr>
          <w:rFonts w:hint="eastAsia"/>
          <w:lang w:val="en-US" w:eastAsia="zh-CN"/>
        </w:rPr>
        <w:t>各专业本科升学情况分析表</w:t>
      </w:r>
      <w:bookmarkEnd w:id="189"/>
    </w:p>
    <w:tbl>
      <w:tblPr>
        <w:tblStyle w:val="21"/>
        <w:tblW w:w="5000" w:type="pct"/>
        <w:jc w:val="center"/>
        <w:tblLayout w:type="autofit"/>
        <w:tblCellMar>
          <w:top w:w="0" w:type="dxa"/>
          <w:left w:w="108" w:type="dxa"/>
          <w:bottom w:w="0" w:type="dxa"/>
          <w:right w:w="108" w:type="dxa"/>
        </w:tblCellMar>
      </w:tblPr>
      <w:tblGrid>
        <w:gridCol w:w="1266"/>
        <w:gridCol w:w="1001"/>
        <w:gridCol w:w="1003"/>
        <w:gridCol w:w="903"/>
        <w:gridCol w:w="903"/>
        <w:gridCol w:w="946"/>
        <w:gridCol w:w="946"/>
        <w:gridCol w:w="1046"/>
        <w:gridCol w:w="1047"/>
      </w:tblGrid>
      <w:tr w14:paraId="0827E5B0">
        <w:tblPrEx>
          <w:tblCellMar>
            <w:top w:w="0" w:type="dxa"/>
            <w:left w:w="108" w:type="dxa"/>
            <w:bottom w:w="0" w:type="dxa"/>
            <w:right w:w="108" w:type="dxa"/>
          </w:tblCellMar>
        </w:tblPrEx>
        <w:trPr>
          <w:trHeight w:val="0" w:hRule="atLeast"/>
          <w:jc w:val="center"/>
        </w:trPr>
        <w:tc>
          <w:tcPr>
            <w:tcW w:w="698"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0C7DF530">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专业</w:t>
            </w:r>
          </w:p>
        </w:tc>
        <w:tc>
          <w:tcPr>
            <w:tcW w:w="55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7C3BD47E">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2023年全校参考人数</w:t>
            </w:r>
          </w:p>
        </w:tc>
        <w:tc>
          <w:tcPr>
            <w:tcW w:w="553"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4330D100">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2024年全校参考人数</w:t>
            </w:r>
          </w:p>
        </w:tc>
        <w:tc>
          <w:tcPr>
            <w:tcW w:w="498"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10C7093B">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2023年校本科数</w:t>
            </w:r>
          </w:p>
        </w:tc>
        <w:tc>
          <w:tcPr>
            <w:tcW w:w="498"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6B11FB5F">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2024年校本科数</w:t>
            </w:r>
          </w:p>
        </w:tc>
        <w:tc>
          <w:tcPr>
            <w:tcW w:w="52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4134BFF2">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2023年校本科率</w:t>
            </w:r>
          </w:p>
        </w:tc>
        <w:tc>
          <w:tcPr>
            <w:tcW w:w="52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3A94451F">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2024年校本科率</w:t>
            </w:r>
          </w:p>
        </w:tc>
        <w:tc>
          <w:tcPr>
            <w:tcW w:w="577"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3F13DADA">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2023年校超市本科率</w:t>
            </w:r>
          </w:p>
        </w:tc>
        <w:tc>
          <w:tcPr>
            <w:tcW w:w="577"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tcBorders>
            <w:shd w:val="clear" w:color="auto" w:fill="4874CB" w:themeFill="accent1"/>
            <w:vAlign w:val="center"/>
          </w:tcPr>
          <w:p w14:paraId="5E66A2EE">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2024年校超市本科率</w:t>
            </w:r>
          </w:p>
        </w:tc>
      </w:tr>
      <w:tr w14:paraId="3E3361D6">
        <w:tblPrEx>
          <w:tblCellMar>
            <w:top w:w="0" w:type="dxa"/>
            <w:left w:w="108" w:type="dxa"/>
            <w:bottom w:w="0" w:type="dxa"/>
            <w:right w:w="108" w:type="dxa"/>
          </w:tblCellMar>
        </w:tblPrEx>
        <w:trPr>
          <w:trHeight w:val="0" w:hRule="atLeast"/>
          <w:jc w:val="center"/>
        </w:trPr>
        <w:tc>
          <w:tcPr>
            <w:tcW w:w="698" w:type="pc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981553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计算机类</w:t>
            </w:r>
          </w:p>
        </w:tc>
        <w:tc>
          <w:tcPr>
            <w:tcW w:w="55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BAA2F3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134</w:t>
            </w:r>
          </w:p>
        </w:tc>
        <w:tc>
          <w:tcPr>
            <w:tcW w:w="55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FC0BFF9">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85</w:t>
            </w:r>
          </w:p>
        </w:tc>
        <w:tc>
          <w:tcPr>
            <w:tcW w:w="498"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C66BB2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21</w:t>
            </w:r>
          </w:p>
        </w:tc>
        <w:tc>
          <w:tcPr>
            <w:tcW w:w="498"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EA6D88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30</w:t>
            </w:r>
          </w:p>
        </w:tc>
        <w:tc>
          <w:tcPr>
            <w:tcW w:w="52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126DC2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15.67%</w:t>
            </w:r>
          </w:p>
        </w:tc>
        <w:tc>
          <w:tcPr>
            <w:tcW w:w="52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C6C1AAD">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35.29%</w:t>
            </w:r>
          </w:p>
        </w:tc>
        <w:tc>
          <w:tcPr>
            <w:tcW w:w="577"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D3315AD">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11.35%</w:t>
            </w:r>
          </w:p>
        </w:tc>
        <w:tc>
          <w:tcPr>
            <w:tcW w:w="577"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noWrap/>
            <w:vAlign w:val="center"/>
          </w:tcPr>
          <w:p w14:paraId="7834AC9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31.29%</w:t>
            </w:r>
          </w:p>
        </w:tc>
      </w:tr>
      <w:tr w14:paraId="74A9A469">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ign w:val="center"/>
          </w:tcPr>
          <w:p w14:paraId="693160C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电子技术类</w:t>
            </w:r>
          </w:p>
        </w:tc>
        <w:tc>
          <w:tcPr>
            <w:tcW w:w="5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A0F4BA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98</w:t>
            </w:r>
          </w:p>
        </w:tc>
        <w:tc>
          <w:tcPr>
            <w:tcW w:w="5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E43711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40</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BAD277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17</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A7F1B49">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10</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5E7BA4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17.35%</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9A5400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25.00%</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435D19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11.14%</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noWrap/>
            <w:vAlign w:val="center"/>
          </w:tcPr>
          <w:p w14:paraId="53DFD95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18.00%</w:t>
            </w:r>
          </w:p>
        </w:tc>
      </w:tr>
      <w:tr w14:paraId="6E91AD5D">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6EB670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机械加工类</w:t>
            </w:r>
          </w:p>
        </w:tc>
        <w:tc>
          <w:tcPr>
            <w:tcW w:w="5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601168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41</w:t>
            </w:r>
          </w:p>
        </w:tc>
        <w:tc>
          <w:tcPr>
            <w:tcW w:w="5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9B365C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48</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62AFFE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31</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6F49C5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7</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65EDB99">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75.61%</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93CAA9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14.58%</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1C21B8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68.18%</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noWrap/>
            <w:vAlign w:val="center"/>
          </w:tcPr>
          <w:p w14:paraId="2D808C7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10.58%</w:t>
            </w:r>
          </w:p>
        </w:tc>
      </w:tr>
      <w:tr w14:paraId="2D06A49F">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ign w:val="center"/>
          </w:tcPr>
          <w:p w14:paraId="344262C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旅游类</w:t>
            </w:r>
          </w:p>
        </w:tc>
        <w:tc>
          <w:tcPr>
            <w:tcW w:w="5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DC874A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55</w:t>
            </w:r>
          </w:p>
        </w:tc>
        <w:tc>
          <w:tcPr>
            <w:tcW w:w="5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36315D6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85</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5F49FA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13</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10A5D4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25</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F402F8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23.64%</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0BA97F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29.41%</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6705E3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20.49%</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noWrap/>
            <w:vAlign w:val="center"/>
          </w:tcPr>
          <w:p w14:paraId="631DCF2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25.41%</w:t>
            </w:r>
          </w:p>
        </w:tc>
      </w:tr>
      <w:tr w14:paraId="638EA103">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059F99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教育类</w:t>
            </w:r>
          </w:p>
        </w:tc>
        <w:tc>
          <w:tcPr>
            <w:tcW w:w="5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276D01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64</w:t>
            </w:r>
          </w:p>
        </w:tc>
        <w:tc>
          <w:tcPr>
            <w:tcW w:w="5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BE8DC6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70</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194755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6</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1E7E689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4E6A6D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9.38%</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21E998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2.86%</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07DF04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6.61%</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noWrap/>
            <w:vAlign w:val="center"/>
          </w:tcPr>
          <w:p w14:paraId="4450E20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0.86%</w:t>
            </w:r>
          </w:p>
        </w:tc>
      </w:tr>
      <w:tr w14:paraId="6DC8B848">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ign w:val="center"/>
          </w:tcPr>
          <w:p w14:paraId="214007E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会计类</w:t>
            </w:r>
          </w:p>
        </w:tc>
        <w:tc>
          <w:tcPr>
            <w:tcW w:w="5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308BC0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97</w:t>
            </w:r>
          </w:p>
        </w:tc>
        <w:tc>
          <w:tcPr>
            <w:tcW w:w="5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38861B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90</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804A17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11</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89015A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ACA94E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11.34%</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94C421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22.22%</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0623E1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4.38%</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noWrap/>
            <w:vAlign w:val="center"/>
          </w:tcPr>
          <w:p w14:paraId="03A4629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16.22%</w:t>
            </w:r>
          </w:p>
        </w:tc>
      </w:tr>
      <w:tr w14:paraId="10C8242F">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9345F0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服装设计类</w:t>
            </w:r>
          </w:p>
        </w:tc>
        <w:tc>
          <w:tcPr>
            <w:tcW w:w="5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103BC0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54</w:t>
            </w:r>
          </w:p>
        </w:tc>
        <w:tc>
          <w:tcPr>
            <w:tcW w:w="5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6C07BC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37</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279B35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16</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F819A7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15</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B395FB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29.63%</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E3E228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40.54%</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CEA307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22.44%</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noWrap/>
            <w:vAlign w:val="center"/>
          </w:tcPr>
          <w:p w14:paraId="6BC642E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35.54%</w:t>
            </w:r>
          </w:p>
        </w:tc>
      </w:tr>
      <w:tr w14:paraId="45210CC9">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ign w:val="center"/>
          </w:tcPr>
          <w:p w14:paraId="32C111B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电子商务类</w:t>
            </w:r>
          </w:p>
        </w:tc>
        <w:tc>
          <w:tcPr>
            <w:tcW w:w="5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269CB2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36</w:t>
            </w:r>
          </w:p>
        </w:tc>
        <w:tc>
          <w:tcPr>
            <w:tcW w:w="5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3AFC94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51</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C0F30B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w:t>
            </w:r>
          </w:p>
        </w:tc>
        <w:tc>
          <w:tcPr>
            <w:tcW w:w="49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DF1F489">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B645B2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25.00%</w:t>
            </w:r>
          </w:p>
        </w:tc>
        <w:tc>
          <w:tcPr>
            <w:tcW w:w="52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DBF3B4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17.65%</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305D6E7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22.13%</w:t>
            </w:r>
          </w:p>
        </w:tc>
        <w:tc>
          <w:tcPr>
            <w:tcW w:w="57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noWrap/>
            <w:vAlign w:val="center"/>
          </w:tcPr>
          <w:p w14:paraId="7E40BBE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15.65%</w:t>
            </w:r>
          </w:p>
        </w:tc>
      </w:tr>
      <w:tr w14:paraId="72DB0F8C">
        <w:tblPrEx>
          <w:tblCellMar>
            <w:top w:w="0" w:type="dxa"/>
            <w:left w:w="108" w:type="dxa"/>
            <w:bottom w:w="0" w:type="dxa"/>
            <w:right w:w="108" w:type="dxa"/>
          </w:tblCellMar>
        </w:tblPrEx>
        <w:trPr>
          <w:trHeight w:val="0" w:hRule="atLeast"/>
          <w:jc w:val="center"/>
        </w:trPr>
        <w:tc>
          <w:tcPr>
            <w:tcW w:w="698"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02E05AF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3+4</w:t>
            </w:r>
          </w:p>
        </w:tc>
        <w:tc>
          <w:tcPr>
            <w:tcW w:w="55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0B2E501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90</w:t>
            </w:r>
          </w:p>
        </w:tc>
        <w:tc>
          <w:tcPr>
            <w:tcW w:w="55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4DCA128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107</w:t>
            </w:r>
          </w:p>
        </w:tc>
        <w:tc>
          <w:tcPr>
            <w:tcW w:w="49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5E7AC16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89</w:t>
            </w:r>
          </w:p>
        </w:tc>
        <w:tc>
          <w:tcPr>
            <w:tcW w:w="49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726D23A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106</w:t>
            </w:r>
          </w:p>
        </w:tc>
        <w:tc>
          <w:tcPr>
            <w:tcW w:w="52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5134AAB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98.89%</w:t>
            </w:r>
          </w:p>
        </w:tc>
        <w:tc>
          <w:tcPr>
            <w:tcW w:w="52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0826A3E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99.07%</w:t>
            </w:r>
          </w:p>
        </w:tc>
        <w:tc>
          <w:tcPr>
            <w:tcW w:w="577"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1B3856F3">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77"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noWrap/>
            <w:vAlign w:val="center"/>
          </w:tcPr>
          <w:p w14:paraId="4537DD5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bl>
    <w:p w14:paraId="5A0466C6">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190" w:name="_Toc13188"/>
      <w:bookmarkStart w:id="191" w:name="_Toc25621"/>
      <w:bookmarkStart w:id="192" w:name="_Toc18756"/>
      <w:r>
        <w:rPr>
          <w:rFonts w:hint="eastAsia"/>
          <w:lang w:val="en-US" w:eastAsia="zh-CN"/>
        </w:rPr>
        <w:t>2.5.3创新创业</w:t>
      </w:r>
      <w:bookmarkEnd w:id="190"/>
      <w:bookmarkEnd w:id="191"/>
      <w:bookmarkEnd w:id="192"/>
    </w:p>
    <w:p w14:paraId="0C0A3C6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山陶艺是重庆市南岸区第八批非物质文化遗产，具有深厚的历史文化底蕴。作为南山陶艺的非遗传承人和非遗文化爱好者，团队历经多次“非遗进校园”活动实践，发现当前陶艺教学存在传承深度不足、传承范围有限、传承力量薄弱等问题。为此，团队发起“艺启陶”项目，旨在通过新颖的教学设计，为</w:t>
      </w:r>
      <w:bookmarkStart w:id="193" w:name="OLE_LINK41"/>
      <w:r>
        <w:rPr>
          <w:rFonts w:hint="eastAsia" w:ascii="Times New Roman" w:hAnsi="Times New Roman" w:eastAsia="方正仿宋_GBK" w:cs="Times New Roman"/>
          <w:color w:val="auto"/>
          <w:sz w:val="32"/>
          <w:szCs w:val="32"/>
          <w:lang w:val="en-US" w:eastAsia="zh-CN"/>
        </w:rPr>
        <w:t>7-1</w:t>
      </w:r>
      <w:bookmarkStart w:id="194" w:name="OLE_LINK40"/>
      <w:r>
        <w:rPr>
          <w:rFonts w:hint="eastAsia" w:ascii="Times New Roman" w:hAnsi="Times New Roman" w:eastAsia="方正仿宋_GBK" w:cs="Times New Roman"/>
          <w:color w:val="auto"/>
          <w:sz w:val="32"/>
          <w:szCs w:val="32"/>
          <w:lang w:val="en-US" w:eastAsia="zh-CN"/>
        </w:rPr>
        <w:t>6岁</w:t>
      </w:r>
      <w:bookmarkEnd w:id="194"/>
      <w:r>
        <w:rPr>
          <w:rFonts w:hint="eastAsia" w:ascii="Times New Roman" w:hAnsi="Times New Roman" w:eastAsia="方正仿宋_GBK" w:cs="Times New Roman"/>
          <w:color w:val="auto"/>
          <w:sz w:val="32"/>
          <w:szCs w:val="32"/>
          <w:lang w:val="en-US" w:eastAsia="zh-CN"/>
        </w:rPr>
        <w:t>青少年</w:t>
      </w:r>
      <w:bookmarkEnd w:id="193"/>
      <w:r>
        <w:rPr>
          <w:rFonts w:hint="eastAsia" w:ascii="Times New Roman" w:hAnsi="Times New Roman" w:eastAsia="方正仿宋_GBK" w:cs="Times New Roman"/>
          <w:color w:val="auto"/>
          <w:sz w:val="32"/>
          <w:szCs w:val="32"/>
          <w:lang w:val="en-US" w:eastAsia="zh-CN"/>
        </w:rPr>
        <w:t>提供高质量的非遗陶艺体验课程服务。</w:t>
      </w:r>
    </w:p>
    <w:p w14:paraId="45D88EC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项目化课程：根据青少年审美</w:t>
      </w:r>
      <w:bookmarkStart w:id="195" w:name="OLE_LINK46"/>
      <w:r>
        <w:rPr>
          <w:rFonts w:hint="eastAsia" w:ascii="Times New Roman" w:hAnsi="Times New Roman" w:eastAsia="方正仿宋_GBK" w:cs="Times New Roman"/>
          <w:color w:val="auto"/>
          <w:sz w:val="32"/>
          <w:szCs w:val="32"/>
          <w:lang w:val="en-US" w:eastAsia="zh-CN"/>
        </w:rPr>
        <w:t>基础</w:t>
      </w:r>
      <w:bookmarkEnd w:id="195"/>
      <w:r>
        <w:rPr>
          <w:rFonts w:hint="eastAsia" w:ascii="Times New Roman" w:hAnsi="Times New Roman" w:eastAsia="方正仿宋_GBK" w:cs="Times New Roman"/>
          <w:color w:val="auto"/>
          <w:sz w:val="32"/>
          <w:szCs w:val="32"/>
          <w:lang w:val="en-US" w:eastAsia="zh-CN"/>
        </w:rPr>
        <w:t>和实践能力的差异，构建多题材、多梯度的项目主题教学内容，结合南山陶艺非遗技艺的实践，有效提升青少年的审美能力和创造力。</w:t>
      </w:r>
    </w:p>
    <w:p w14:paraId="0482D9C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高效</w:t>
      </w:r>
      <w:bookmarkStart w:id="196" w:name="目录"/>
      <w:r>
        <w:rPr>
          <w:rFonts w:hint="eastAsia" w:ascii="Times New Roman" w:hAnsi="Times New Roman" w:eastAsia="方正仿宋_GBK" w:cs="Times New Roman"/>
          <w:color w:val="auto"/>
          <w:sz w:val="32"/>
          <w:szCs w:val="32"/>
          <w:lang w:val="en-US" w:eastAsia="zh-CN"/>
        </w:rPr>
        <w:t>整合资源</w:t>
      </w:r>
      <w:bookmarkEnd w:id="196"/>
      <w:r>
        <w:rPr>
          <w:rFonts w:hint="eastAsia" w:ascii="Times New Roman" w:hAnsi="Times New Roman" w:eastAsia="方正仿宋_GBK" w:cs="Times New Roman"/>
          <w:color w:val="auto"/>
          <w:sz w:val="32"/>
          <w:szCs w:val="32"/>
          <w:lang w:val="en-US" w:eastAsia="zh-CN"/>
        </w:rPr>
        <w:t>：</w:t>
      </w:r>
      <w:bookmarkStart w:id="197" w:name="图"/>
      <w:r>
        <w:rPr>
          <w:rFonts w:hint="eastAsia" w:ascii="Times New Roman" w:hAnsi="Times New Roman" w:eastAsia="方正仿宋_GBK" w:cs="Times New Roman"/>
          <w:color w:val="auto"/>
          <w:sz w:val="32"/>
          <w:szCs w:val="32"/>
          <w:lang w:val="en-US" w:eastAsia="zh-CN"/>
        </w:rPr>
        <w:t>项目汇集</w:t>
      </w:r>
      <w:bookmarkEnd w:id="197"/>
      <w:r>
        <w:rPr>
          <w:rFonts w:hint="eastAsia" w:ascii="Times New Roman" w:hAnsi="Times New Roman" w:eastAsia="方正仿宋_GBK" w:cs="Times New Roman"/>
          <w:color w:val="auto"/>
          <w:sz w:val="32"/>
          <w:szCs w:val="32"/>
          <w:lang w:val="en-US" w:eastAsia="zh-CN"/>
        </w:rPr>
        <w:t>非遗传承、课程构建、营销推广</w:t>
      </w:r>
      <w:bookmarkStart w:id="198" w:name="表"/>
      <w:r>
        <w:rPr>
          <w:rFonts w:hint="eastAsia" w:ascii="Times New Roman" w:hAnsi="Times New Roman" w:eastAsia="方正仿宋_GBK" w:cs="Times New Roman"/>
          <w:color w:val="auto"/>
          <w:sz w:val="32"/>
          <w:szCs w:val="32"/>
          <w:lang w:val="en-US" w:eastAsia="zh-CN"/>
        </w:rPr>
        <w:t>等不同领域</w:t>
      </w:r>
      <w:bookmarkStart w:id="199" w:name="OLE_LINK35"/>
      <w:r>
        <w:rPr>
          <w:rFonts w:hint="eastAsia" w:ascii="Times New Roman" w:hAnsi="Times New Roman" w:eastAsia="方正仿宋_GBK" w:cs="Times New Roman"/>
          <w:color w:val="auto"/>
          <w:sz w:val="32"/>
          <w:szCs w:val="32"/>
          <w:lang w:val="en-US" w:eastAsia="zh-CN"/>
        </w:rPr>
        <w:t>专业人才</w:t>
      </w:r>
      <w:bookmarkEnd w:id="199"/>
      <w:r>
        <w:rPr>
          <w:rFonts w:hint="eastAsia" w:ascii="Times New Roman" w:hAnsi="Times New Roman" w:eastAsia="方正仿宋_GBK" w:cs="Times New Roman"/>
          <w:color w:val="auto"/>
          <w:sz w:val="32"/>
          <w:szCs w:val="32"/>
          <w:lang w:val="en-US" w:eastAsia="zh-CN"/>
        </w:rPr>
        <w:t>的共同智慧；</w:t>
      </w:r>
      <w:bookmarkEnd w:id="198"/>
      <w:r>
        <w:rPr>
          <w:rFonts w:hint="eastAsia" w:ascii="Times New Roman" w:hAnsi="Times New Roman" w:eastAsia="方正仿宋_GBK" w:cs="Times New Roman"/>
          <w:color w:val="auto"/>
          <w:sz w:val="32"/>
          <w:szCs w:val="32"/>
          <w:lang w:val="en-US" w:eastAsia="zh-CN"/>
        </w:rPr>
        <w:t>提供囊括教学资源、工具材料、学习指导、作品烧制等内容的</w:t>
      </w:r>
      <w:bookmarkStart w:id="200" w:name="OLE_LINK48"/>
      <w:r>
        <w:rPr>
          <w:rFonts w:hint="eastAsia" w:ascii="Times New Roman" w:hAnsi="Times New Roman" w:eastAsia="方正仿宋_GBK" w:cs="Times New Roman"/>
          <w:color w:val="auto"/>
          <w:sz w:val="32"/>
          <w:szCs w:val="32"/>
          <w:lang w:val="en-US" w:eastAsia="zh-CN"/>
        </w:rPr>
        <w:t>一站式</w:t>
      </w:r>
      <w:bookmarkEnd w:id="200"/>
      <w:r>
        <w:rPr>
          <w:rFonts w:hint="eastAsia" w:ascii="Times New Roman" w:hAnsi="Times New Roman" w:eastAsia="方正仿宋_GBK" w:cs="Times New Roman"/>
          <w:color w:val="auto"/>
          <w:sz w:val="32"/>
          <w:szCs w:val="32"/>
          <w:lang w:val="en-US" w:eastAsia="zh-CN"/>
        </w:rPr>
        <w:t>教学服务；有效利用非遗传承基地、市级工艺美术实训基地等平台</w:t>
      </w:r>
      <w:bookmarkStart w:id="201" w:name="OLE_LINK29"/>
      <w:r>
        <w:rPr>
          <w:rFonts w:hint="eastAsia" w:ascii="Times New Roman" w:hAnsi="Times New Roman" w:eastAsia="方正仿宋_GBK" w:cs="Times New Roman"/>
          <w:color w:val="auto"/>
          <w:sz w:val="32"/>
          <w:szCs w:val="32"/>
          <w:lang w:val="en-US" w:eastAsia="zh-CN"/>
        </w:rPr>
        <w:t>扩大</w:t>
      </w:r>
      <w:bookmarkEnd w:id="201"/>
      <w:r>
        <w:rPr>
          <w:rFonts w:hint="eastAsia" w:ascii="Times New Roman" w:hAnsi="Times New Roman" w:eastAsia="方正仿宋_GBK" w:cs="Times New Roman"/>
          <w:color w:val="auto"/>
          <w:sz w:val="32"/>
          <w:szCs w:val="32"/>
          <w:lang w:val="en-US" w:eastAsia="zh-CN"/>
        </w:rPr>
        <w:t>项目影响力。</w:t>
      </w:r>
    </w:p>
    <w:p w14:paraId="20849BD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bookmarkStart w:id="202" w:name="OLE_LINK39"/>
      <w:r>
        <w:rPr>
          <w:rFonts w:hint="eastAsia" w:ascii="Times New Roman" w:hAnsi="Times New Roman" w:eastAsia="方正仿宋_GBK" w:cs="Times New Roman"/>
          <w:color w:val="auto"/>
          <w:sz w:val="32"/>
          <w:szCs w:val="32"/>
          <w:lang w:val="en-US" w:eastAsia="zh-CN"/>
        </w:rPr>
        <w:t>文商结合：</w:t>
      </w:r>
      <w:bookmarkEnd w:id="202"/>
      <w:r>
        <w:rPr>
          <w:rFonts w:hint="eastAsia" w:ascii="Times New Roman" w:hAnsi="Times New Roman" w:eastAsia="方正仿宋_GBK" w:cs="Times New Roman"/>
          <w:color w:val="auto"/>
          <w:sz w:val="32"/>
          <w:szCs w:val="32"/>
          <w:lang w:val="en-US" w:eastAsia="zh-CN"/>
        </w:rPr>
        <w:t>在传承非遗文化的同时，发掘学员优秀设计元素进行网络包装推广，客户根据喜好定制原创商品，团队结合3D打印等先进技术生产，实现学员作品到商品的创新转化。</w:t>
      </w:r>
    </w:p>
    <w:p w14:paraId="79CD1E2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项目通过专家及团队反复研讨，已完成不同学段非遗陶艺体验课程的构建，开发了相应的课程资源包，并与江西省景德镇市小陶然陶艺培训基地签署了材料包供给合同。为检验效果，项目已在艺培机构、研学中心开展了56次教学活动，为1256名中小学生提供了公益课程体验。</w:t>
      </w:r>
    </w:p>
    <w:p w14:paraId="483A6C82">
      <w:pPr>
        <w:pStyle w:val="4"/>
        <w:keepNext w:val="0"/>
        <w:keepLines w:val="0"/>
        <w:pageBreakBefore w:val="0"/>
        <w:widowControl w:val="0"/>
        <w:kinsoku/>
        <w:wordWrap/>
        <w:overflowPunct/>
        <w:topLinePunct w:val="0"/>
        <w:autoSpaceDE/>
        <w:autoSpaceDN/>
        <w:bidi w:val="0"/>
        <w:spacing w:line="600" w:lineRule="exact"/>
        <w:textAlignment w:val="auto"/>
        <w:rPr>
          <w:rFonts w:hint="default"/>
          <w:lang w:val="en-US" w:eastAsia="zh-CN"/>
        </w:rPr>
      </w:pPr>
      <w:bookmarkStart w:id="203" w:name="_Toc28748"/>
      <w:bookmarkStart w:id="204" w:name="_Toc16790"/>
      <w:bookmarkStart w:id="205" w:name="_Toc532"/>
      <w:r>
        <w:rPr>
          <w:rFonts w:hint="eastAsia"/>
          <w:lang w:val="en-US" w:eastAsia="zh-CN"/>
        </w:rPr>
        <w:t>2.5.4技工学校毕业去向落实情况</w:t>
      </w:r>
      <w:bookmarkEnd w:id="203"/>
      <w:bookmarkEnd w:id="204"/>
      <w:bookmarkEnd w:id="205"/>
    </w:p>
    <w:p w14:paraId="6D88FE5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学校指导学生学会适应社会并正确择业，开设就业指导课程，帮助学生了解行业趋势，掌握求职技巧，提升个人竞争力。课程内容涵盖职业规划、简历撰写、面试技巧、职场礼仪等多个方面，旨在全方位提升学生的就业能力。此外，学校还定期邀请行业专家和校友回校举办讲座和研讨会，为学生提供与行业接轨的最新信息和经验分享。通过这些措施，学校努力帮助毕业生顺利过渡到职场，实现个人价值和社会价值的双重提升。2023-2024年，学校对口就业率达97%，稳定率达95%。</w:t>
      </w:r>
    </w:p>
    <w:p w14:paraId="3DC47AAD">
      <w:pPr>
        <w:pStyle w:val="4"/>
        <w:keepNext w:val="0"/>
        <w:keepLines w:val="0"/>
        <w:pageBreakBefore w:val="0"/>
        <w:widowControl w:val="0"/>
        <w:kinsoku/>
        <w:wordWrap/>
        <w:overflowPunct/>
        <w:topLinePunct w:val="0"/>
        <w:autoSpaceDE/>
        <w:autoSpaceDN/>
        <w:bidi w:val="0"/>
        <w:spacing w:line="600" w:lineRule="exact"/>
        <w:textAlignment w:val="auto"/>
        <w:rPr>
          <w:rFonts w:hint="default"/>
          <w:lang w:val="en-US" w:eastAsia="zh-CN"/>
        </w:rPr>
      </w:pPr>
      <w:bookmarkStart w:id="206" w:name="_Toc13752"/>
      <w:bookmarkStart w:id="207" w:name="_Toc13138"/>
      <w:bookmarkStart w:id="208" w:name="_Toc13589"/>
      <w:r>
        <w:rPr>
          <w:rFonts w:hint="eastAsia"/>
          <w:lang w:val="en-US" w:eastAsia="zh-CN"/>
        </w:rPr>
        <w:t>2.5.5特教中心毕业去向落实情况</w:t>
      </w:r>
      <w:bookmarkEnd w:id="206"/>
      <w:bookmarkEnd w:id="207"/>
      <w:bookmarkEnd w:id="208"/>
    </w:p>
    <w:p w14:paraId="1B22100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一是就业质量。</w:t>
      </w:r>
      <w:r>
        <w:rPr>
          <w:rFonts w:hint="eastAsia" w:ascii="Times New Roman" w:hAnsi="Times New Roman" w:eastAsia="方正仿宋_GBK" w:cs="Times New Roman"/>
          <w:b w:val="0"/>
          <w:bCs w:val="0"/>
          <w:color w:val="auto"/>
          <w:sz w:val="32"/>
          <w:szCs w:val="32"/>
          <w:lang w:val="en-US" w:eastAsia="zh-CN"/>
        </w:rPr>
        <w:t>学校附设中职班中医康复技术专业学生毕业就业去向均为盲人按摩服务行业，均为第三产业服务人员。2021级19名学生于2024年6月毕业，其中8名学生实现专业对口就业，4名学生暂缓就业。</w:t>
      </w:r>
      <w:r>
        <w:rPr>
          <w:rFonts w:hint="eastAsia" w:ascii="Times New Roman" w:hAnsi="Times New Roman" w:eastAsia="方正楷体_GBK" w:cs="Times New Roman"/>
          <w:color w:val="auto"/>
          <w:sz w:val="32"/>
          <w:szCs w:val="32"/>
          <w:lang w:val="en-US" w:eastAsia="zh-CN"/>
        </w:rPr>
        <w:t>二是升学情况。</w:t>
      </w:r>
      <w:r>
        <w:rPr>
          <w:rFonts w:hint="eastAsia" w:ascii="Times New Roman" w:hAnsi="Times New Roman" w:eastAsia="方正仿宋_GBK" w:cs="Times New Roman"/>
          <w:b w:val="0"/>
          <w:bCs w:val="0"/>
          <w:color w:val="auto"/>
          <w:sz w:val="32"/>
          <w:szCs w:val="32"/>
          <w:lang w:val="en-US" w:eastAsia="zh-CN"/>
        </w:rPr>
        <w:t>2021级19名学生有7名学生通过残疾人单招考试升入河南推拿职业学院。2023年10月职高教研组开展“筑梦计划”教学研讨会，为有升学意向的10名2022级职高二年级学生提供有针对性的复习指导。</w:t>
      </w:r>
      <w:r>
        <w:rPr>
          <w:rFonts w:hint="eastAsia" w:ascii="Times New Roman" w:hAnsi="Times New Roman" w:eastAsia="方正楷体_GBK" w:cs="Times New Roman"/>
          <w:color w:val="auto"/>
          <w:sz w:val="32"/>
          <w:szCs w:val="32"/>
          <w:lang w:val="en-US" w:eastAsia="zh-CN"/>
        </w:rPr>
        <w:t>三是创新创业。</w:t>
      </w:r>
      <w:r>
        <w:rPr>
          <w:rFonts w:hint="eastAsia" w:ascii="Times New Roman" w:hAnsi="Times New Roman" w:eastAsia="方正仿宋_GBK" w:cs="Times New Roman"/>
          <w:b w:val="0"/>
          <w:bCs w:val="0"/>
          <w:color w:val="auto"/>
          <w:sz w:val="32"/>
          <w:szCs w:val="32"/>
          <w:lang w:val="en-US" w:eastAsia="zh-CN"/>
        </w:rPr>
        <w:t>学校附设中职班重视培养创新</w:t>
      </w:r>
      <w:r>
        <w:rPr>
          <w:rFonts w:hint="eastAsia" w:ascii="Times New Roman" w:hAnsi="Times New Roman" w:eastAsia="方正仿宋_GBK" w:cs="Times New Roman"/>
          <w:color w:val="auto"/>
          <w:sz w:val="32"/>
          <w:szCs w:val="32"/>
          <w:lang w:val="en-US" w:eastAsia="zh-CN"/>
        </w:rPr>
        <w:t>实践能力，支持学生积极创业。重视汲取创新创业新经验，积极参加2023年残疾人就业创业优秀典型会等相关活动。开展行业能手新校园活动，聘请优秀毕业生代表肖剑锋分享创业经验。为帮助职业教育毕业生能更好的实现就业，学校附设中职班教师利用职业教育活动周开展职业教育主题宣讲会，强化师生对职业教育的正确认知；举办了“扬帆筑梦‘职’面未来”第二届模拟求职招聘大赛，强化职教学生求职技能；开展“与企业面对面，让梦想肩并肩”第二届双选会，筛选优质单位，为学生搭建就业平台，帮助学生实现就业。同时，针对非实习班级，职教部定期带领学生到实习实训基地开展见习，帮助学生提前适应岗位，为就业做准备。</w:t>
      </w:r>
    </w:p>
    <w:p w14:paraId="32DD72BB">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09" w:name="_Toc32440"/>
      <w:bookmarkStart w:id="210" w:name="_Toc20609"/>
      <w:bookmarkStart w:id="211" w:name="_Toc25185"/>
      <w:r>
        <w:rPr>
          <w:rFonts w:hint="eastAsia"/>
          <w:lang w:val="en-US" w:eastAsia="zh-CN"/>
        </w:rPr>
        <w:t>2.6学生发展</w:t>
      </w:r>
      <w:bookmarkEnd w:id="209"/>
      <w:bookmarkEnd w:id="210"/>
      <w:bookmarkEnd w:id="211"/>
    </w:p>
    <w:p w14:paraId="77B89436">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12" w:name="_Toc7531"/>
      <w:bookmarkStart w:id="213" w:name="_Toc12084"/>
      <w:bookmarkStart w:id="214" w:name="_Toc32691"/>
      <w:r>
        <w:rPr>
          <w:rFonts w:hint="eastAsia"/>
          <w:lang w:val="en-US" w:eastAsia="zh-CN"/>
        </w:rPr>
        <w:t>2.6.1学生成绩</w:t>
      </w:r>
      <w:bookmarkEnd w:id="212"/>
      <w:bookmarkEnd w:id="213"/>
      <w:bookmarkEnd w:id="214"/>
    </w:p>
    <w:p w14:paraId="532192D4">
      <w:pPr>
        <w:pStyle w:val="13"/>
        <w:keepNext w:val="0"/>
        <w:keepLines w:val="0"/>
        <w:pageBreakBefore w:val="0"/>
        <w:widowControl w:val="0"/>
        <w:kinsoku/>
        <w:wordWrap/>
        <w:overflowPunct/>
        <w:topLinePunct w:val="0"/>
        <w:autoSpaceDE/>
        <w:autoSpaceDN/>
        <w:bidi w:val="0"/>
        <w:spacing w:line="600" w:lineRule="exact"/>
        <w:textAlignment w:val="auto"/>
        <w:outlineLvl w:val="9"/>
        <w:rPr>
          <w:rFonts w:hint="eastAsia" w:ascii="Times New Roman" w:hAnsi="Times New Roman" w:eastAsia="方正仿宋_GBK" w:cs="Times New Roman"/>
          <w:bCs w:val="0"/>
          <w:color w:val="auto"/>
          <w:spacing w:val="0"/>
          <w:kern w:val="2"/>
          <w:sz w:val="32"/>
          <w:szCs w:val="32"/>
          <w:lang w:val="en-US" w:eastAsia="zh-CN" w:bidi="ar-SA"/>
        </w:rPr>
      </w:pPr>
      <w:r>
        <w:rPr>
          <w:rFonts w:hint="eastAsia" w:ascii="Times New Roman" w:hAnsi="Times New Roman" w:eastAsia="方正仿宋_GBK" w:cs="Times New Roman"/>
          <w:bCs w:val="0"/>
          <w:color w:val="auto"/>
          <w:spacing w:val="0"/>
          <w:kern w:val="2"/>
          <w:sz w:val="32"/>
          <w:szCs w:val="32"/>
          <w:lang w:val="en-US" w:eastAsia="zh-CN" w:bidi="ar-SA"/>
        </w:rPr>
        <w:t>南岸区抓牢抓实教学质量，为学生升学、就业服务。一是开足开齐公共基础课程，涵盖语文、数学、英语、体育与健康、历史、思想政治等，旨在培养学生的基本文化素养和思政核心素养、综合素质。按照新的专业简介和专业标准，调整更新专业课，对接产业、新兴产业和特色产业对人才的需求，强化专业理论和专业技能训练。学生公共课、专业课合格率均达到95%以上，职业资格证书/职业技能等级证书获取率90.6%，1+X证书获取率也达到95.2%。</w:t>
      </w:r>
    </w:p>
    <w:p w14:paraId="5C925726">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15" w:name="_Toc21860"/>
      <w:bookmarkStart w:id="216" w:name="_Toc22162"/>
      <w:bookmarkStart w:id="217" w:name="_Toc12167"/>
      <w:r>
        <w:rPr>
          <w:rFonts w:hint="eastAsia"/>
          <w:lang w:val="en-US" w:eastAsia="zh-CN"/>
        </w:rPr>
        <w:t>2.6.2技能大赛</w:t>
      </w:r>
      <w:bookmarkEnd w:id="215"/>
      <w:bookmarkEnd w:id="216"/>
      <w:bookmarkEnd w:id="217"/>
    </w:p>
    <w:p w14:paraId="5792EB3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Arial" w:hAnsi="Arial" w:eastAsia="方正仿宋_GB2312"/>
          <w:b/>
          <w:kern w:val="2"/>
        </w:rPr>
      </w:pPr>
      <w:r>
        <w:rPr>
          <w:rFonts w:hint="eastAsia" w:ascii="Times New Roman" w:hAnsi="Times New Roman" w:eastAsia="方正仿宋_GBK" w:cs="Times New Roman"/>
          <w:color w:val="auto"/>
          <w:sz w:val="32"/>
          <w:szCs w:val="32"/>
          <w:lang w:val="en-US" w:eastAsia="zh-CN"/>
        </w:rPr>
        <w:t>南岸区指导学校参加各项技能大赛，2024年重庆市职业院校学生技能大赛中，南岸区19个赛项参加，所有赛项全部获奖，其中3个赛项获3个一等奖，11个赛项获12个二等奖，5个赛项获6个三等奖；2个项目参加中华人民共和国第二届职业技能大赛，其中工业机械项目获得优胜奖、装配钳工项目获得优胜奖，总排名12名；在重庆市选拔赛中，南岸区参加了12个项目的比赛，获得一等奖4个，二等奖10个，三等奖6个，其中在共青团中央、人力资源社会保障部主办的第十八届“振兴杯”全国青年职业技能大赛职工组全国决赛中，江治毫老师勇夺钳工工种全国决赛铜奖，创造南岸区在该项比赛中的最好成绩记录。</w:t>
      </w:r>
    </w:p>
    <w:p w14:paraId="2EDFEB58">
      <w:pPr>
        <w:pStyle w:val="38"/>
        <w:bidi w:val="0"/>
        <w:rPr>
          <w:rFonts w:hint="eastAsia"/>
          <w:lang w:val="en-US" w:eastAsia="zh-CN"/>
        </w:rPr>
      </w:pPr>
      <w:bookmarkStart w:id="218" w:name="_Toc22088"/>
      <w:r>
        <w:rPr>
          <w:rFonts w:hint="eastAsia"/>
          <w:lang w:val="en-US" w:eastAsia="zh-CN"/>
        </w:rPr>
        <w:t>表11 全国职业院校技能大赛学生获奖情况一览表（单位：个）</w:t>
      </w:r>
      <w:bookmarkEnd w:id="218"/>
    </w:p>
    <w:tbl>
      <w:tblPr>
        <w:tblStyle w:val="30"/>
        <w:tblW w:w="4997" w:type="pct"/>
        <w:jc w:val="center"/>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Layout w:type="autofit"/>
        <w:tblCellMar>
          <w:top w:w="0" w:type="dxa"/>
          <w:left w:w="108" w:type="dxa"/>
          <w:bottom w:w="0" w:type="dxa"/>
          <w:right w:w="108" w:type="dxa"/>
        </w:tblCellMar>
      </w:tblPr>
      <w:tblGrid>
        <w:gridCol w:w="562"/>
        <w:gridCol w:w="2344"/>
        <w:gridCol w:w="1981"/>
        <w:gridCol w:w="689"/>
        <w:gridCol w:w="700"/>
        <w:gridCol w:w="689"/>
        <w:gridCol w:w="701"/>
        <w:gridCol w:w="689"/>
        <w:gridCol w:w="701"/>
      </w:tblGrid>
      <w:tr w14:paraId="2A8FDF55">
        <w:tblPrEx>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0" w:hRule="atLeast"/>
          <w:jc w:val="center"/>
        </w:trPr>
        <w:tc>
          <w:tcPr>
            <w:tcW w:w="310" w:type="pct"/>
            <w:vMerge w:val="restart"/>
            <w:tcBorders>
              <w:top w:val="single" w:color="4874CB" w:themeColor="accent1" w:sz="6" w:space="0"/>
              <w:left w:val="single" w:color="4874CB" w:themeColor="accent1"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0BFB38D3">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序号</w:t>
            </w:r>
          </w:p>
        </w:tc>
        <w:tc>
          <w:tcPr>
            <w:tcW w:w="1293"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792CFC34">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竞赛类型</w:t>
            </w:r>
          </w:p>
        </w:tc>
        <w:tc>
          <w:tcPr>
            <w:tcW w:w="1093"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40466A7C">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获奖专业名称（简写）</w:t>
            </w:r>
          </w:p>
        </w:tc>
        <w:tc>
          <w:tcPr>
            <w:tcW w:w="766"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0E9DFFBA">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一等奖</w:t>
            </w:r>
          </w:p>
        </w:tc>
        <w:tc>
          <w:tcPr>
            <w:tcW w:w="767"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400204F1">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二等奖</w:t>
            </w:r>
          </w:p>
        </w:tc>
        <w:tc>
          <w:tcPr>
            <w:tcW w:w="767" w:type="pct"/>
            <w:gridSpan w:val="2"/>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vAlign w:val="center"/>
          </w:tcPr>
          <w:p w14:paraId="32630B1A">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三等奖</w:t>
            </w:r>
          </w:p>
        </w:tc>
      </w:tr>
      <w:tr w14:paraId="49CF23C6">
        <w:tblPrEx>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0" w:hRule="atLeast"/>
          <w:jc w:val="center"/>
        </w:trPr>
        <w:tc>
          <w:tcPr>
            <w:tcW w:w="310" w:type="pct"/>
            <w:vMerge w:val="continue"/>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9B07385">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293"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B99E7FF">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093"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998D9DC">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380"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27D4A3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w:t>
            </w:r>
          </w:p>
        </w:tc>
        <w:tc>
          <w:tcPr>
            <w:tcW w:w="38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4B8EE9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w:t>
            </w:r>
          </w:p>
        </w:tc>
        <w:tc>
          <w:tcPr>
            <w:tcW w:w="380"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EED9B7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w:t>
            </w:r>
          </w:p>
        </w:tc>
        <w:tc>
          <w:tcPr>
            <w:tcW w:w="38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456B7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w:t>
            </w:r>
          </w:p>
        </w:tc>
        <w:tc>
          <w:tcPr>
            <w:tcW w:w="380"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8B741DD">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w:t>
            </w:r>
          </w:p>
        </w:tc>
        <w:tc>
          <w:tcPr>
            <w:tcW w:w="386"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BE5685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w:t>
            </w:r>
          </w:p>
        </w:tc>
      </w:tr>
      <w:tr w14:paraId="2F3F7DC7">
        <w:tblPrEx>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0" w:hRule="atLeast"/>
          <w:jc w:val="center"/>
        </w:trPr>
        <w:tc>
          <w:tcPr>
            <w:tcW w:w="310"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8915AC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w:t>
            </w:r>
          </w:p>
        </w:tc>
        <w:tc>
          <w:tcPr>
            <w:tcW w:w="12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82E2EA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市级职业院校技能大赛</w:t>
            </w:r>
          </w:p>
        </w:tc>
        <w:tc>
          <w:tcPr>
            <w:tcW w:w="10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68F510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电子机械专业</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CF097B9">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w:t>
            </w:r>
          </w:p>
        </w:tc>
        <w:tc>
          <w:tcPr>
            <w:tcW w:w="38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D5DAA8A">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641594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7</w:t>
            </w: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845A31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C9CA5D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1AEEC5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r>
      <w:tr w14:paraId="6A5DA925">
        <w:tblPrEx>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0" w:hRule="atLeast"/>
          <w:jc w:val="center"/>
        </w:trPr>
        <w:tc>
          <w:tcPr>
            <w:tcW w:w="310"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930753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12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B7E082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市级职业院校技能大赛</w:t>
            </w:r>
          </w:p>
        </w:tc>
        <w:tc>
          <w:tcPr>
            <w:tcW w:w="10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D01C99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艺术设计专业</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004A26D">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38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C81801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F3ABE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w:t>
            </w: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4E577C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BCB2C5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0DAB1E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75AB9659">
        <w:tblPrEx>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0" w:hRule="atLeast"/>
          <w:jc w:val="center"/>
        </w:trPr>
        <w:tc>
          <w:tcPr>
            <w:tcW w:w="310"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31BDA8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12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FC52B4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市级职业院校技能大赛</w:t>
            </w:r>
          </w:p>
        </w:tc>
        <w:tc>
          <w:tcPr>
            <w:tcW w:w="10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901FDD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财经商贸专业</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35A696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38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591FE9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A01B06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210722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205EE1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70366A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w:t>
            </w:r>
          </w:p>
        </w:tc>
      </w:tr>
      <w:tr w14:paraId="438747F8">
        <w:tblPrEx>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0" w:hRule="atLeast"/>
          <w:jc w:val="center"/>
        </w:trPr>
        <w:tc>
          <w:tcPr>
            <w:tcW w:w="310"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C02D8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w:t>
            </w:r>
          </w:p>
        </w:tc>
        <w:tc>
          <w:tcPr>
            <w:tcW w:w="12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09F85F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市级职业院校技能大赛</w:t>
            </w:r>
          </w:p>
        </w:tc>
        <w:tc>
          <w:tcPr>
            <w:tcW w:w="109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26997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航空旅游专业</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E86CF53">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38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632F46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C46AF2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2B5952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w:t>
            </w:r>
          </w:p>
        </w:tc>
        <w:tc>
          <w:tcPr>
            <w:tcW w:w="3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EA124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386"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DCE2C5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w:t>
            </w:r>
          </w:p>
        </w:tc>
      </w:tr>
      <w:tr w14:paraId="0D376000">
        <w:tblPrEx>
          <w:tblBorders>
            <w:top w:val="single" w:color="91ABDF" w:sz="4" w:space="0"/>
            <w:left w:val="single" w:color="91ABDF" w:sz="4" w:space="0"/>
            <w:bottom w:val="single" w:color="91ABDF" w:sz="4" w:space="0"/>
            <w:right w:val="single" w:color="91ABDF" w:sz="4" w:space="0"/>
            <w:insideH w:val="single" w:color="91ABDF" w:sz="4" w:space="0"/>
            <w:insideV w:val="single" w:color="91ABDF" w:sz="4" w:space="0"/>
          </w:tblBorders>
          <w:tblCellMar>
            <w:top w:w="0" w:type="dxa"/>
            <w:left w:w="108" w:type="dxa"/>
            <w:bottom w:w="0" w:type="dxa"/>
            <w:right w:w="108" w:type="dxa"/>
          </w:tblCellMar>
        </w:tblPrEx>
        <w:trPr>
          <w:trHeight w:val="0" w:hRule="atLeast"/>
          <w:jc w:val="center"/>
        </w:trPr>
        <w:tc>
          <w:tcPr>
            <w:tcW w:w="310"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vAlign w:val="center"/>
          </w:tcPr>
          <w:p w14:paraId="4C6E185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5</w:t>
            </w:r>
          </w:p>
        </w:tc>
        <w:tc>
          <w:tcPr>
            <w:tcW w:w="129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0C35007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市级职业院校技能大赛</w:t>
            </w:r>
          </w:p>
        </w:tc>
        <w:tc>
          <w:tcPr>
            <w:tcW w:w="109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455573E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计算机专业</w:t>
            </w:r>
          </w:p>
        </w:tc>
        <w:tc>
          <w:tcPr>
            <w:tcW w:w="38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7DFB462D">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5</w:t>
            </w:r>
          </w:p>
        </w:tc>
        <w:tc>
          <w:tcPr>
            <w:tcW w:w="38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2AD1EE31">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38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36B51E4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w:t>
            </w:r>
          </w:p>
        </w:tc>
        <w:tc>
          <w:tcPr>
            <w:tcW w:w="38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5EA84B6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5</w:t>
            </w:r>
          </w:p>
        </w:tc>
        <w:tc>
          <w:tcPr>
            <w:tcW w:w="38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5922EB8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w:t>
            </w:r>
          </w:p>
        </w:tc>
        <w:tc>
          <w:tcPr>
            <w:tcW w:w="386"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FFFFFF"/>
            <w:vAlign w:val="center"/>
          </w:tcPr>
          <w:p w14:paraId="326F2A10">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bl>
    <w:p w14:paraId="5873E373">
      <w:pPr>
        <w:pStyle w:val="4"/>
        <w:keepNext w:val="0"/>
        <w:keepLines w:val="0"/>
        <w:pageBreakBefore w:val="0"/>
        <w:widowControl w:val="0"/>
        <w:kinsoku/>
        <w:wordWrap/>
        <w:overflowPunct/>
        <w:topLinePunct w:val="0"/>
        <w:autoSpaceDE/>
        <w:autoSpaceDN/>
        <w:bidi w:val="0"/>
        <w:spacing w:line="600" w:lineRule="exact"/>
        <w:textAlignment w:val="auto"/>
        <w:rPr>
          <w:rFonts w:hint="default"/>
          <w:lang w:val="en-US" w:eastAsia="zh-CN"/>
        </w:rPr>
      </w:pPr>
      <w:bookmarkStart w:id="219" w:name="_Toc25179"/>
      <w:bookmarkStart w:id="220" w:name="_Toc25482"/>
      <w:bookmarkStart w:id="221" w:name="_Toc28073"/>
      <w:r>
        <w:rPr>
          <w:rFonts w:hint="eastAsia"/>
          <w:lang w:val="en-US" w:eastAsia="zh-CN"/>
        </w:rPr>
        <w:t>2.6.3技工学校学生发展情况</w:t>
      </w:r>
      <w:bookmarkEnd w:id="219"/>
      <w:bookmarkEnd w:id="220"/>
      <w:bookmarkEnd w:id="221"/>
    </w:p>
    <w:p w14:paraId="5C14D9C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学校致力于全面推行德智体美劳五育并重的教育方针，在德育领域，配备了13名专职思想政治课程教师，并开设每学期72学时的德育课程。在心理健康教育领域，学校配备一名心理健康课程教师和一名心理咨询工作人员，心理健康课程的授课时数为每学期72学时。学校举办校级技能大赛，并组织师生参与重庆市及以上的技能大赛，在技能大赛中，学生们展现了扎实的专业技能和良好的团队协作能力，获得了多项荣誉和奖项。</w:t>
      </w:r>
    </w:p>
    <w:p w14:paraId="31FF57A4">
      <w:pPr>
        <w:pStyle w:val="4"/>
        <w:keepNext w:val="0"/>
        <w:keepLines w:val="0"/>
        <w:pageBreakBefore w:val="0"/>
        <w:widowControl w:val="0"/>
        <w:kinsoku/>
        <w:wordWrap/>
        <w:overflowPunct/>
        <w:topLinePunct w:val="0"/>
        <w:autoSpaceDE/>
        <w:autoSpaceDN/>
        <w:bidi w:val="0"/>
        <w:spacing w:line="600" w:lineRule="exact"/>
        <w:textAlignment w:val="auto"/>
        <w:rPr>
          <w:rFonts w:hint="default"/>
          <w:lang w:val="en-US" w:eastAsia="zh-CN"/>
        </w:rPr>
      </w:pPr>
      <w:bookmarkStart w:id="222" w:name="_Toc20297"/>
      <w:bookmarkStart w:id="223" w:name="_Toc27333"/>
      <w:bookmarkStart w:id="224" w:name="_Toc13791"/>
      <w:r>
        <w:rPr>
          <w:rFonts w:hint="eastAsia"/>
          <w:lang w:val="en-US" w:eastAsia="zh-CN"/>
        </w:rPr>
        <w:t>2.6.2特教中心学生发展情况</w:t>
      </w:r>
      <w:bookmarkEnd w:id="222"/>
      <w:bookmarkEnd w:id="223"/>
      <w:bookmarkEnd w:id="224"/>
    </w:p>
    <w:p w14:paraId="218A8AB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学校附设中职班公共课合格率为100%，专业课合格率为100%，由于教学对象的特殊性，视力障碍学生无法参加国家学生体质健康标准测试。职业资格证书方面，学校附设中职班教师鼓励学生参加全国盲人医疗按摩人员考试，并对有需求的学生提供专业课复习资料。</w:t>
      </w:r>
    </w:p>
    <w:p w14:paraId="63CB09C9">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25" w:name="_Toc1117"/>
      <w:bookmarkStart w:id="226" w:name="_Toc2640"/>
      <w:bookmarkStart w:id="227" w:name="_Toc7811"/>
      <w:r>
        <w:rPr>
          <w:rFonts w:hint="eastAsia"/>
          <w:lang w:val="en-US" w:eastAsia="zh-CN"/>
        </w:rPr>
        <w:t>2.7在校体验</w:t>
      </w:r>
      <w:bookmarkEnd w:id="225"/>
      <w:bookmarkEnd w:id="226"/>
      <w:bookmarkEnd w:id="227"/>
    </w:p>
    <w:p w14:paraId="091028AE">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28" w:name="_Toc1400"/>
      <w:bookmarkStart w:id="229" w:name="_Toc23545"/>
      <w:bookmarkStart w:id="230" w:name="_Toc15534"/>
      <w:r>
        <w:rPr>
          <w:rFonts w:hint="eastAsia"/>
          <w:lang w:val="en-US" w:eastAsia="zh-CN"/>
        </w:rPr>
        <w:t>2.7.1文艺展演获奖</w:t>
      </w:r>
      <w:bookmarkEnd w:id="228"/>
      <w:bookmarkEnd w:id="229"/>
      <w:bookmarkEnd w:id="230"/>
    </w:p>
    <w:p w14:paraId="15E2771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鼓励学生积极参与各级、各类体育、艺术比赛，涉及书法、舞蹈、朗诵、LOGO、绘画、征文、跳绳、大课间活动等多种作品与竞赛，均获得优异成绩。2024年度，学校学生参与校级及以上美育活动共29次，学生参与人数达到5000余人；区县级美育活动学生参与人数为192人；市级美育活动学生参与人数为782人。共计获得奖项93项，其中特等奖7项（区级7个），一等奖6项（市级3个，区级3个），二等奖22项（市级8个，区级14个），三等奖49项（市级13个，区级36个），优秀奖7项（国家级4个，市级1个，区级2个），荣誉称号19项。</w:t>
      </w:r>
    </w:p>
    <w:p w14:paraId="7544B15F">
      <w:pPr>
        <w:pStyle w:val="38"/>
        <w:bidi w:val="0"/>
        <w:rPr>
          <w:rFonts w:hint="eastAsia"/>
          <w:lang w:val="en-US" w:eastAsia="zh-CN"/>
        </w:rPr>
      </w:pPr>
      <w:bookmarkStart w:id="231" w:name="_Toc2548"/>
      <w:r>
        <w:rPr>
          <w:rFonts w:hint="eastAsia"/>
          <w:lang w:val="en-US" w:eastAsia="zh-CN"/>
        </w:rPr>
        <w:t>表12</w:t>
      </w:r>
      <w:r>
        <w:rPr>
          <w:rFonts w:hint="eastAsia"/>
        </w:rPr>
        <w:t>中职学校</w:t>
      </w:r>
      <w:r>
        <w:rPr>
          <w:rFonts w:hint="eastAsia"/>
          <w:lang w:val="en-US" w:eastAsia="zh-CN"/>
        </w:rPr>
        <w:t>学生文艺展演获奖情况一览表</w:t>
      </w:r>
      <w:bookmarkEnd w:id="231"/>
    </w:p>
    <w:tbl>
      <w:tblPr>
        <w:tblStyle w:val="30"/>
        <w:tblW w:w="4997" w:type="pct"/>
        <w:jc w:val="cente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1298"/>
        <w:gridCol w:w="1033"/>
        <w:gridCol w:w="770"/>
        <w:gridCol w:w="1037"/>
        <w:gridCol w:w="1037"/>
        <w:gridCol w:w="1037"/>
        <w:gridCol w:w="1037"/>
        <w:gridCol w:w="1037"/>
        <w:gridCol w:w="770"/>
      </w:tblGrid>
      <w:tr w14:paraId="0468CB7F">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716"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1D48DB96">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类型</w:t>
            </w:r>
          </w:p>
        </w:tc>
        <w:tc>
          <w:tcPr>
            <w:tcW w:w="570"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4C0EC717">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级别</w:t>
            </w:r>
          </w:p>
        </w:tc>
        <w:tc>
          <w:tcPr>
            <w:tcW w:w="425"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6BC816DD">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总数</w:t>
            </w:r>
          </w:p>
        </w:tc>
        <w:tc>
          <w:tcPr>
            <w:tcW w:w="57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49F25F58">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特等奖</w:t>
            </w:r>
          </w:p>
        </w:tc>
        <w:tc>
          <w:tcPr>
            <w:tcW w:w="57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3D417451">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一等奖</w:t>
            </w:r>
          </w:p>
        </w:tc>
        <w:tc>
          <w:tcPr>
            <w:tcW w:w="57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536FB9DB">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二等奖</w:t>
            </w:r>
          </w:p>
        </w:tc>
        <w:tc>
          <w:tcPr>
            <w:tcW w:w="57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26B5906D">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三等奖</w:t>
            </w:r>
          </w:p>
        </w:tc>
        <w:tc>
          <w:tcPr>
            <w:tcW w:w="57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l2br w:val="nil"/>
              <w:tr2bl w:val="nil"/>
            </w:tcBorders>
            <w:shd w:val="clear" w:color="auto" w:fill="4874CB" w:themeFill="accent1"/>
          </w:tcPr>
          <w:p w14:paraId="0EE99A91">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优秀奖</w:t>
            </w:r>
          </w:p>
        </w:tc>
        <w:tc>
          <w:tcPr>
            <w:tcW w:w="425"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insideV w:val="nil"/>
              <w:tl2br w:val="nil"/>
              <w:tr2bl w:val="nil"/>
            </w:tcBorders>
            <w:shd w:val="clear" w:color="auto" w:fill="4874CB" w:themeFill="accent1"/>
          </w:tcPr>
          <w:p w14:paraId="536F3B22">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其他</w:t>
            </w:r>
          </w:p>
        </w:tc>
      </w:tr>
      <w:tr w14:paraId="50F282B4">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716" w:type="pct"/>
            <w:vMerge w:val="restar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719F55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艺术展演</w:t>
            </w:r>
          </w:p>
        </w:tc>
        <w:tc>
          <w:tcPr>
            <w:tcW w:w="570"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tcPr>
          <w:p w14:paraId="084E21AD">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国家级</w:t>
            </w:r>
          </w:p>
        </w:tc>
        <w:tc>
          <w:tcPr>
            <w:tcW w:w="42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E9941C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w:t>
            </w:r>
          </w:p>
        </w:tc>
        <w:tc>
          <w:tcPr>
            <w:tcW w:w="57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1D338E3">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w:t>
            </w:r>
          </w:p>
        </w:tc>
        <w:tc>
          <w:tcPr>
            <w:tcW w:w="57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C308C4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w:t>
            </w:r>
          </w:p>
        </w:tc>
        <w:tc>
          <w:tcPr>
            <w:tcW w:w="57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35AA40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w:t>
            </w:r>
          </w:p>
        </w:tc>
        <w:tc>
          <w:tcPr>
            <w:tcW w:w="57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1510F9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w:t>
            </w:r>
          </w:p>
        </w:tc>
        <w:tc>
          <w:tcPr>
            <w:tcW w:w="57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F1F6E0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w:t>
            </w:r>
          </w:p>
        </w:tc>
        <w:tc>
          <w:tcPr>
            <w:tcW w:w="425"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36B1CC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w:t>
            </w:r>
          </w:p>
        </w:tc>
      </w:tr>
      <w:tr w14:paraId="540B5A1A">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716"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8594E22">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7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tcPr>
          <w:p w14:paraId="0F6D50B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市级</w:t>
            </w:r>
          </w:p>
        </w:tc>
        <w:tc>
          <w:tcPr>
            <w:tcW w:w="42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17BB74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27</w:t>
            </w:r>
          </w:p>
        </w:tc>
        <w:tc>
          <w:tcPr>
            <w:tcW w:w="57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2C7E42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w:t>
            </w:r>
          </w:p>
        </w:tc>
        <w:tc>
          <w:tcPr>
            <w:tcW w:w="57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8DC47E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57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775AA1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8</w:t>
            </w:r>
          </w:p>
        </w:tc>
        <w:tc>
          <w:tcPr>
            <w:tcW w:w="57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241AB1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13</w:t>
            </w:r>
          </w:p>
        </w:tc>
        <w:tc>
          <w:tcPr>
            <w:tcW w:w="57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45902C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w:t>
            </w:r>
          </w:p>
        </w:tc>
        <w:tc>
          <w:tcPr>
            <w:tcW w:w="42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DE13C9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r>
      <w:tr w14:paraId="643F1BD1">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716" w:type="pct"/>
            <w:vMerge w:val="continue"/>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7D7E48F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7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5F168D4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区级</w:t>
            </w:r>
          </w:p>
        </w:tc>
        <w:tc>
          <w:tcPr>
            <w:tcW w:w="42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6F62EF8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62</w:t>
            </w:r>
          </w:p>
        </w:tc>
        <w:tc>
          <w:tcPr>
            <w:tcW w:w="57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2D4D8E8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7</w:t>
            </w:r>
          </w:p>
        </w:tc>
        <w:tc>
          <w:tcPr>
            <w:tcW w:w="57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223DBD0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w:t>
            </w:r>
          </w:p>
        </w:tc>
        <w:tc>
          <w:tcPr>
            <w:tcW w:w="57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269ECF8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14</w:t>
            </w:r>
          </w:p>
        </w:tc>
        <w:tc>
          <w:tcPr>
            <w:tcW w:w="57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1A76CB3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36</w:t>
            </w:r>
          </w:p>
        </w:tc>
        <w:tc>
          <w:tcPr>
            <w:tcW w:w="57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66B8051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w:t>
            </w:r>
          </w:p>
        </w:tc>
        <w:tc>
          <w:tcPr>
            <w:tcW w:w="425"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43A960C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0</w:t>
            </w:r>
          </w:p>
        </w:tc>
      </w:tr>
    </w:tbl>
    <w:p w14:paraId="32666BE2">
      <w:pPr>
        <w:widowControl/>
        <w:shd w:val="clear" w:color="auto" w:fill="FFFFFF"/>
        <w:spacing w:line="360" w:lineRule="auto"/>
        <w:ind w:firstLine="482"/>
        <w:jc w:val="center"/>
        <w:rPr>
          <w:rFonts w:ascii="方正仿宋_GBK" w:eastAsia="方正仿宋_GBK"/>
          <w:b/>
          <w:sz w:val="24"/>
        </w:rPr>
      </w:pPr>
    </w:p>
    <w:p w14:paraId="3613B062">
      <w:pPr>
        <w:pStyle w:val="38"/>
        <w:bidi w:val="0"/>
        <w:rPr>
          <w:rFonts w:hint="eastAsia"/>
          <w:lang w:val="en-US" w:eastAsia="zh-CN"/>
        </w:rPr>
      </w:pPr>
      <w:bookmarkStart w:id="232" w:name="_Toc22742"/>
      <w:r>
        <w:rPr>
          <w:rFonts w:hint="eastAsia"/>
          <w:lang w:val="en-US" w:eastAsia="zh-CN"/>
        </w:rPr>
        <w:t xml:space="preserve">表13 </w:t>
      </w:r>
      <w:r>
        <w:rPr>
          <w:rFonts w:hint="eastAsia"/>
        </w:rPr>
        <w:t>中职学校</w:t>
      </w:r>
      <w:r>
        <w:rPr>
          <w:rFonts w:hint="eastAsia"/>
          <w:lang w:val="en-US" w:eastAsia="zh-CN"/>
        </w:rPr>
        <w:t>学生个人其他获奖、荣誉表彰统计表</w:t>
      </w:r>
      <w:bookmarkEnd w:id="232"/>
    </w:p>
    <w:tbl>
      <w:tblPr>
        <w:tblStyle w:val="30"/>
        <w:tblW w:w="5000" w:type="pct"/>
        <w:jc w:val="cente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570"/>
        <w:gridCol w:w="2637"/>
        <w:gridCol w:w="1187"/>
        <w:gridCol w:w="479"/>
        <w:gridCol w:w="524"/>
        <w:gridCol w:w="803"/>
        <w:gridCol w:w="803"/>
        <w:gridCol w:w="524"/>
        <w:gridCol w:w="524"/>
        <w:gridCol w:w="1010"/>
      </w:tblGrid>
      <w:tr w14:paraId="587632FB">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61CF2D49">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级别</w:t>
            </w:r>
          </w:p>
        </w:tc>
        <w:tc>
          <w:tcPr>
            <w:tcW w:w="1455"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insideH w:val="single" w:sz="4" w:space="0"/>
              <w:insideV w:val="nil"/>
              <w:tl2br w:val="nil"/>
              <w:tr2bl w:val="nil"/>
            </w:tcBorders>
            <w:shd w:val="clear" w:color="auto" w:fill="4874CB" w:themeFill="accent1"/>
            <w:vAlign w:val="center"/>
          </w:tcPr>
          <w:p w14:paraId="7DEF2DA5">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类别</w:t>
            </w:r>
          </w:p>
        </w:tc>
        <w:tc>
          <w:tcPr>
            <w:tcW w:w="655"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0DED0CD1">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时间</w:t>
            </w:r>
          </w:p>
        </w:tc>
        <w:tc>
          <w:tcPr>
            <w:tcW w:w="264"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735D7141">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总数</w:t>
            </w:r>
          </w:p>
        </w:tc>
        <w:tc>
          <w:tcPr>
            <w:tcW w:w="289"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43CCFA5A">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特等奖</w:t>
            </w:r>
          </w:p>
        </w:tc>
        <w:tc>
          <w:tcPr>
            <w:tcW w:w="443"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58F03C94">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一等奖</w:t>
            </w:r>
          </w:p>
        </w:tc>
        <w:tc>
          <w:tcPr>
            <w:tcW w:w="443"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43AA17D6">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二等奖</w:t>
            </w:r>
          </w:p>
        </w:tc>
        <w:tc>
          <w:tcPr>
            <w:tcW w:w="289"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699B7D89">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三等奖</w:t>
            </w:r>
          </w:p>
        </w:tc>
        <w:tc>
          <w:tcPr>
            <w:tcW w:w="289"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0A558634">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优秀奖</w:t>
            </w:r>
          </w:p>
        </w:tc>
        <w:tc>
          <w:tcPr>
            <w:tcW w:w="555"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H w:val="single" w:sz="4" w:space="0"/>
              <w:insideV w:val="nil"/>
              <w:tl2br w:val="nil"/>
              <w:tr2bl w:val="nil"/>
            </w:tcBorders>
            <w:shd w:val="clear" w:color="auto" w:fill="4874CB" w:themeFill="accent1"/>
            <w:vAlign w:val="center"/>
          </w:tcPr>
          <w:p w14:paraId="52EFC2E1">
            <w:pPr>
              <w:widowControl/>
              <w:jc w:val="center"/>
              <w:textAlignment w:val="center"/>
              <w:rPr>
                <w:rFonts w:hint="eastAsia" w:ascii="方正仿宋_GBK" w:hAnsi="方正仿宋_GBK" w:eastAsia="方正仿宋_GBK" w:cs="方正仿宋_GBK"/>
                <w:b/>
                <w:bCs w:val="0"/>
                <w:i w:val="0"/>
                <w:color w:val="FFFFFF"/>
                <w:kern w:val="0"/>
                <w:szCs w:val="21"/>
                <w:lang w:bidi="ar"/>
              </w:rPr>
            </w:pPr>
            <w:r>
              <w:rPr>
                <w:rFonts w:hint="eastAsia" w:ascii="方正仿宋_GBK" w:hAnsi="方正仿宋_GBK" w:eastAsia="方正仿宋_GBK" w:cs="方正仿宋_GBK"/>
                <w:b/>
                <w:bCs w:val="0"/>
                <w:i w:val="0"/>
                <w:color w:val="FFFFFF"/>
                <w:kern w:val="0"/>
                <w:szCs w:val="21"/>
                <w:lang w:bidi="ar"/>
              </w:rPr>
              <w:t>其他</w:t>
            </w:r>
          </w:p>
        </w:tc>
      </w:tr>
      <w:tr w14:paraId="79EE5646">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restar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4D91359">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国家级</w:t>
            </w:r>
          </w:p>
        </w:tc>
        <w:tc>
          <w:tcPr>
            <w:tcW w:w="1455"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C0C0F1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第六届“环境健康杯全国中小学生征文绘画比赛”</w:t>
            </w:r>
          </w:p>
        </w:tc>
        <w:tc>
          <w:tcPr>
            <w:tcW w:w="65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EF82BF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2023.09</w:t>
            </w:r>
          </w:p>
        </w:tc>
        <w:tc>
          <w:tcPr>
            <w:tcW w:w="264"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6B26955">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666E772">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04F6EAA">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9D7803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3E8C6B9">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15CC6300">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555"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9998514">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3898C9FF">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3B33B3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0BEC9C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第六届“环境健康杯全国中小学生征文绘画比赛”</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C82BED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2024.07.04</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CEC9A40">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40D05F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CEE036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C3E6E8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A61AC4B">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ECE6A8C">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A410E3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2030AF6A">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86BD5A5">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410A35A">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第五届“我爱大熊猫”国际少儿明信片绘画作品展</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E3A859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2023.12</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8D2E27C">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1F61B3A">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19268F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33C3992">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0BE0C0B">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AAAD4DB">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w:t>
            </w: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8A927F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0BA24519">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E678B2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市级</w:t>
            </w: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5EDA3D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第43届“动感地带”川渝“校园之春”文化艺术体育活动之“唱响青春”中学中职校园歌唱大赛</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D61C321">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2024.05.26</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7C2E6BC">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6EE6BA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E1B749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00206AE">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70BE631">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9CCD428">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32F2D73">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5ACDBF90">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1CA9861">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E66DB0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第八届重庆市青少年科学素养大赛</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0D6C06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2024.05.06</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2B6F544">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20</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E34D9C0">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44F3DE2">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w:t>
            </w: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0E467E0">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5</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65A1D6A">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13</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B4C62A2">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0CFB11E">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4376B411">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659A19B">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C32124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第二届重庆市“小公民”校园法治故事漫画大赛</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843D9A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2024.08.05</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384EA99D">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54F8609">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B230DE4">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90FC3F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E60AFE8">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EE42080">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A7C140C">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5ECB57D1">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2BF4625">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F53F28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重庆市2023届“环境健康杯”中小学生征文绘画比赛</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77F0BE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2024.06.25</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F0EBA92">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41FB043">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B230D5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8A2A0CB">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600CFA0">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12B632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78BE70B">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6E487E0C">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01FA3F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C5F1E6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重庆市第七届运动会</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E46DFF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2024.05.28</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F6209DD">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4</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3DB9F26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3527664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1金牌</w:t>
            </w: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DAB727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1银牌</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3A74D824">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CBFCE12">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B9ACD0B">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1第六名</w:t>
            </w:r>
          </w:p>
          <w:p w14:paraId="419728F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1第五名</w:t>
            </w:r>
          </w:p>
        </w:tc>
      </w:tr>
      <w:tr w14:paraId="742BB925">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0C4103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区级</w:t>
            </w: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4E67E80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2023年“中华魂”（毛泽东伟大精神品格）主题教育读书活动</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5E6F88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2023.12.29</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991AAF1">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15</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48AAC7F">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B71B3E8">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8936533">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4C29ABA">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13</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39A95EC">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ECD7D8B">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03A6E5F4">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20A569A">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A178E4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南岸区”我心中的质量“绘画比赛</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CE6632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2023.11</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08F725F">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5DA0E6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8C9474A">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F8623AC">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BB8FF61">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358ACE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5AB170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575B1045">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1CB7D67">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D695922">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南岸区第二届重庆市“小公民”校园法治故事漫画大赛</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5E69B3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2024.06.08</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42E0010">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173072BF">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21837755">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7A7C6E1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160A1D4A">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1EE34A56">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w:t>
            </w: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2D0331B">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373F89FB">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E3D63DC">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47CFFF6">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南岸区第三届“少年向上”主题教育读书活动</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868936F">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2024.04.22</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36C80FF">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40</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77E1D8C">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7</w:t>
            </w: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6E99CAF">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w:t>
            </w: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BC3A4A8">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11</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5B665C9">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20</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BFBD7CE">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E922D98">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5E0DA52F">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65E94E9">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1455"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7886CB8C">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南岸区中小学生“环境健康杯”</w:t>
            </w:r>
          </w:p>
        </w:tc>
        <w:tc>
          <w:tcPr>
            <w:tcW w:w="6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12FB831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2024.02</w:t>
            </w:r>
          </w:p>
        </w:tc>
        <w:tc>
          <w:tcPr>
            <w:tcW w:w="26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3728D5D8">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4</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619D12CD">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8A7AD1F">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1</w:t>
            </w:r>
          </w:p>
        </w:tc>
        <w:tc>
          <w:tcPr>
            <w:tcW w:w="44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582D39F6">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0EB16B12">
            <w:pPr>
              <w:widowControl/>
              <w:jc w:val="center"/>
              <w:textAlignment w:val="center"/>
              <w:rPr>
                <w:rFonts w:hint="eastAsia" w:ascii="方正仿宋_GBK" w:hAnsi="方正仿宋_GBK" w:eastAsia="方正仿宋_GBK" w:cs="方正仿宋_GBK"/>
                <w:b w:val="0"/>
                <w:bCs w:val="0"/>
                <w:i w:val="0"/>
                <w:color w:val="000000"/>
                <w:kern w:val="0"/>
                <w:szCs w:val="21"/>
                <w:lang w:eastAsia="zh-CN" w:bidi="ar"/>
              </w:rPr>
            </w:pPr>
            <w:r>
              <w:rPr>
                <w:rFonts w:hint="eastAsia" w:ascii="方正仿宋_GBK" w:hAnsi="方正仿宋_GBK" w:eastAsia="方正仿宋_GBK" w:cs="方正仿宋_GBK"/>
                <w:b w:val="0"/>
                <w:bCs w:val="0"/>
                <w:i w:val="0"/>
                <w:color w:val="000000"/>
                <w:kern w:val="0"/>
                <w:szCs w:val="21"/>
                <w:lang w:bidi="ar"/>
              </w:rPr>
              <w:t>3</w:t>
            </w:r>
          </w:p>
        </w:tc>
        <w:tc>
          <w:tcPr>
            <w:tcW w:w="28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12E83C5F">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55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noWrap/>
            <w:vAlign w:val="center"/>
          </w:tcPr>
          <w:p w14:paraId="437F06C2">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r>
      <w:tr w14:paraId="0E92ABB9">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3CE4E6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荣誉称号</w:t>
            </w:r>
          </w:p>
        </w:tc>
        <w:tc>
          <w:tcPr>
            <w:tcW w:w="4684" w:type="pct"/>
            <w:gridSpan w:val="9"/>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084E4D28">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南岸区第二届学生运动会篮球比赛暨南岸区“乐动力杯”第二十三届中小学生篮球比赛中4人获优秀运动员</w:t>
            </w:r>
          </w:p>
        </w:tc>
      </w:tr>
      <w:tr w14:paraId="3474B5A8">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BD1E4E9">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684" w:type="pct"/>
            <w:gridSpan w:val="9"/>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85AEF25">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4人获南岸区第七届“新时代好少年”称号</w:t>
            </w:r>
          </w:p>
        </w:tc>
      </w:tr>
      <w:tr w14:paraId="28044D05">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37D001F">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684" w:type="pct"/>
            <w:gridSpan w:val="9"/>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943EF27">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南岸区第三届“少年向上”主题教育读书活动中获优秀组织单位称号</w:t>
            </w:r>
          </w:p>
        </w:tc>
      </w:tr>
      <w:tr w14:paraId="2A0B618E">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1D67D03">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684" w:type="pct"/>
            <w:gridSpan w:val="9"/>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4791FFE">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第八届重庆市青少年科学素养大赛中3人“科学少年”称号</w:t>
            </w:r>
          </w:p>
        </w:tc>
      </w:tr>
      <w:tr w14:paraId="1EAE1524">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A761875">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684" w:type="pct"/>
            <w:gridSpan w:val="9"/>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8E58B20">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重庆市第七届运动会中7人获体育道德风尚奖（个人）</w:t>
            </w:r>
          </w:p>
        </w:tc>
      </w:tr>
      <w:tr w14:paraId="7F9CDE4A">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0" w:hRule="atLeast"/>
          <w:jc w:val="center"/>
        </w:trPr>
        <w:tc>
          <w:tcPr>
            <w:tcW w:w="315" w:type="pct"/>
            <w:vMerge w:val="continue"/>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22EA4FE5">
            <w:pPr>
              <w:widowControl/>
              <w:jc w:val="center"/>
              <w:textAlignment w:val="center"/>
              <w:rPr>
                <w:rFonts w:hint="eastAsia" w:ascii="方正仿宋_GBK" w:hAnsi="方正仿宋_GBK" w:eastAsia="方正仿宋_GBK" w:cs="方正仿宋_GBK"/>
                <w:b w:val="0"/>
                <w:bCs w:val="0"/>
                <w:i w:val="0"/>
                <w:color w:val="000000"/>
                <w:kern w:val="0"/>
                <w:szCs w:val="21"/>
                <w:lang w:bidi="ar"/>
              </w:rPr>
            </w:pPr>
          </w:p>
        </w:tc>
        <w:tc>
          <w:tcPr>
            <w:tcW w:w="4684" w:type="pct"/>
            <w:gridSpan w:val="9"/>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087CAD34">
            <w:pPr>
              <w:widowControl/>
              <w:jc w:val="center"/>
              <w:textAlignment w:val="center"/>
              <w:rPr>
                <w:rFonts w:hint="eastAsia" w:ascii="方正仿宋_GBK" w:hAnsi="方正仿宋_GBK" w:eastAsia="方正仿宋_GBK" w:cs="方正仿宋_GBK"/>
                <w:b w:val="0"/>
                <w:bCs w:val="0"/>
                <w:i w:val="0"/>
                <w:color w:val="000000"/>
                <w:kern w:val="0"/>
                <w:szCs w:val="21"/>
                <w:lang w:bidi="ar"/>
              </w:rPr>
            </w:pPr>
            <w:r>
              <w:rPr>
                <w:rFonts w:hint="eastAsia" w:ascii="方正仿宋_GBK" w:hAnsi="方正仿宋_GBK" w:eastAsia="方正仿宋_GBK" w:cs="方正仿宋_GBK"/>
                <w:b w:val="0"/>
                <w:bCs w:val="0"/>
                <w:i w:val="0"/>
                <w:color w:val="000000"/>
                <w:kern w:val="0"/>
                <w:szCs w:val="21"/>
                <w:lang w:bidi="ar"/>
              </w:rPr>
              <w:t>重庆市第七届运动会中棒垒球队获体育道德风尚奖</w:t>
            </w:r>
            <w:r>
              <w:rPr>
                <w:rFonts w:hint="eastAsia" w:ascii="方正仿宋_GBK" w:hAnsi="方正仿宋_GBK" w:eastAsia="方正仿宋_GBK" w:cs="方正仿宋_GBK"/>
                <w:b w:val="0"/>
                <w:bCs w:val="0"/>
                <w:i w:val="0"/>
                <w:color w:val="000000"/>
                <w:kern w:val="0"/>
                <w:szCs w:val="21"/>
                <w:lang w:bidi="ar"/>
              </w:rPr>
              <w:br w:type="textWrapping"/>
            </w:r>
            <w:r>
              <w:rPr>
                <w:rFonts w:hint="eastAsia" w:ascii="方正仿宋_GBK" w:hAnsi="方正仿宋_GBK" w:eastAsia="方正仿宋_GBK" w:cs="方正仿宋_GBK"/>
                <w:b w:val="0"/>
                <w:bCs w:val="0"/>
                <w:i w:val="0"/>
                <w:color w:val="000000"/>
                <w:kern w:val="0"/>
                <w:szCs w:val="21"/>
                <w:lang w:bidi="ar"/>
              </w:rPr>
              <w:t>（团体）称号</w:t>
            </w:r>
          </w:p>
        </w:tc>
      </w:tr>
    </w:tbl>
    <w:p w14:paraId="27E5B9D4">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33" w:name="_Toc2977"/>
      <w:bookmarkStart w:id="234" w:name="_Toc20137"/>
      <w:bookmarkStart w:id="235" w:name="_Toc14193"/>
      <w:r>
        <w:rPr>
          <w:rFonts w:hint="eastAsia"/>
          <w:lang w:val="en-US" w:eastAsia="zh-CN"/>
        </w:rPr>
        <w:t>2.7.2参加社团情况</w:t>
      </w:r>
      <w:bookmarkEnd w:id="233"/>
      <w:bookmarkEnd w:id="234"/>
      <w:bookmarkEnd w:id="235"/>
    </w:p>
    <w:p w14:paraId="4F45A10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积极传承地方特色文化，指导学校通过丰富多彩的形式，让学生深入了解和体验南岸区的传统文化。学校开设了众多特色社团，如南山陶艺社团、红岩革命宣讲团、狮武社团、金属社团、摄影社团、3D打印社团、金属首饰社团等。南山陶艺社团犹如一扇通往历史的窗户，让学生们领略南山陶艺的悠久历史和精湛技艺。在这里，学生们亲手触摸泥土，感受陶艺的魅力，传承着古老的手工技艺。红岩革命宣讲团则是红色文化的传播者，学生们通过讲述革命故事、弘扬革命精神，将红色基因深深植入心中。狮武社团以其刚劲有力的表演，展现着传统文化的活力与魅力。金属社团、摄影社团、3D打印社团和金属首饰社团等，也都以各自独特的方式，让学生在现代科技与传统工艺的融合中，感受文化的创新与发展。魔法学院社团平台引领学生全面发展，该平台的建立标志着学校社团活动迈入了一个新的阶段，旨在为学生们提供一个探索自我、实现梦想的广阔舞台。“魔法学院”社团平台以“有形、有效、有调”为核心发展愿景，即形式多样、效果显著和独具特色的社团文化。截至目前，“魔法学院”已经成功组建了涵盖7大类别的40个社团，包括表演艺术：如戏剧社、舞蹈队等，共6个社团。传统技艺：书法、国画等传统文化传承社团，共5个。劳动创客：电子制作、机器人设计等创新技术类社团，共8个。手工匠心：手工艺品制作、陶艺等精细工艺类社团，共7个。体育健康：篮球、足球、乒乓球等运动社团，共6个。热血军魂：军事训练、国防教育等增强国防意识的社团，共4个。影视宣讲：电影赏析、视频制作等提升媒体素养的社团，共4个。“魔法学院”已组织超过120场次的各类活动，吸引了超过800人次的学生参与。为了确保活动的安全与质量，学校制定详细的社团章程和安全管理办法，并进行多次安全教育培训，确保每位参与者都能在一个安全、和谐的环境中享受社团生活。</w:t>
      </w:r>
    </w:p>
    <w:p w14:paraId="3F65FE27">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36" w:name="_Toc27036"/>
      <w:bookmarkStart w:id="237" w:name="_Toc24961"/>
      <w:bookmarkStart w:id="238" w:name="_Toc5848"/>
      <w:r>
        <w:rPr>
          <w:rFonts w:hint="eastAsia"/>
          <w:lang w:val="en-US" w:eastAsia="zh-CN"/>
        </w:rPr>
        <w:t>2.7.3“一站式”社区建设</w:t>
      </w:r>
      <w:bookmarkEnd w:id="236"/>
      <w:bookmarkEnd w:id="237"/>
      <w:bookmarkEnd w:id="238"/>
    </w:p>
    <w:p w14:paraId="3F4F13D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积极推动学校进行“一站式”社区建设，龙职中萤之光•志愿者之家”带着志愿者团队，走出课堂，活跃在校园学习生活的每一个场景，走出校园，来到田间地头、乡村社区、行业中心，体验百岗，用热心、专心、精心为社会服务，挖掘推出德才兼备的师生参加各级各类比赛，组织志愿者团队4620人次，参与校内外各类志愿者活动上百次。每年暑假三下乡志愿者服务活动得到市级、全国表彰。</w:t>
      </w:r>
    </w:p>
    <w:p w14:paraId="49B75B2B">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39" w:name="_Toc22630"/>
      <w:bookmarkStart w:id="240" w:name="_Toc14640"/>
      <w:bookmarkStart w:id="241" w:name="_Toc9109"/>
      <w:r>
        <w:rPr>
          <w:rFonts w:hint="eastAsia"/>
          <w:lang w:val="en-US" w:eastAsia="zh-CN"/>
        </w:rPr>
        <w:t>2.7.4心理健康教育</w:t>
      </w:r>
      <w:bookmarkEnd w:id="239"/>
      <w:bookmarkEnd w:id="240"/>
      <w:bookmarkEnd w:id="241"/>
    </w:p>
    <w:p w14:paraId="5324CB4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指导学校开设《心理健康与职业生涯》课程，帮助学生掌握心理健康知识和职业技能规划。定期举办涵盖生命教育、抗挫折能力、情绪管理及青春期身心发展的心理健康讲座，讲座主题主要是根据学生发展特点及实际状况，特别是开展了积极心理系列讲座20余次，高一、高二各个班级轮流参与讲座，涉及人数达4000余名。主要的主题有《积极心态的培养》、《人际交往》《积极情绪》《认识自我》《寻找幸福》《嗨，青春》等主题。设置专门的心理辅导室，配备三位专职心理辅导老师，周一至周五为师生提供咨询服务。进行心理辅导与家长面谈，开展心理委员培训和心理社团活动。新生入学时进行心理普测，根据“一生一档一专班”方案，关注特殊心理特质学生的个性化需求，确保每位学生都能获得温暖支持。在心理测试筛查基础上，心理老师对筛选出来的学生做进一步的追踪访谈，建立重点关注学生一生一档。建立专班进行定期交流和应急处理机制。每次辅导交流后，心理老师或班主任都会在“重点关注学生的一生一档”上作相应记录，让“一生一档”更加完善和具有持续性。组织班主任参加心理健康工作方式培训提升其专业水平。开展的“积极心理校园行”活动通过互动体验，营造充满正能量的心理健康环境，鼓励学生积极参与，共同创造和谐健康的校园氛围。</w:t>
      </w:r>
    </w:p>
    <w:p w14:paraId="29097B2D">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42" w:name="_Toc2067"/>
      <w:bookmarkStart w:id="243" w:name="_Toc27051"/>
      <w:bookmarkStart w:id="244" w:name="_Toc28394"/>
      <w:r>
        <w:rPr>
          <w:rFonts w:hint="eastAsia"/>
          <w:lang w:val="en-US" w:eastAsia="zh-CN"/>
        </w:rPr>
        <w:t>2.7.4技工学校在校体验心理情况</w:t>
      </w:r>
      <w:bookmarkEnd w:id="242"/>
      <w:bookmarkEnd w:id="243"/>
      <w:bookmarkEnd w:id="244"/>
    </w:p>
    <w:p w14:paraId="38EF261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学校注重学生的全面发展，不仅提供优质的教育教学，还通过各种活动和课程培养学生的综合素质。首先，学校的教育教学非常注重学生的参与和体验。教师们采用多种教学方法，如案例分析、小组讨论、实践操作等，让学生更好地理解和掌握知识。同时，学校还提供各种实验和实践课程，让学生有机会亲自动手操作，增强他们的实践能力和创新思维。其次，学校还注重学生的德育教育。通过开展各种德育活动，如主题班会、志愿服务、社会实践等，让学生了解社会、关爱他人、培养良好的品德和价值观。这些活动不仅丰富了学生的校园生活，还让他们在实践中体验到成长的快乐。此外，学校高度重视学生课外活动的丰富性。目前，学校已经成立了各类社团、兴趣小组以及师生校队，例如艺术团、手工社、足球队等。学生可以根据自己的兴趣和特长选择参加相应的社团和兴趣小组，不仅有助于发挥学生的特长和创造力，更能有效提升学生的团队协作和领导能力。最后，学校还注重学生的心理健康和成长。通过建设学生心理发展中心、开展心理辅导和心理健康教育，帮助学生解决成长过程中的困惑和问题，让他们更加自信、健康地成长。这些都有助于他们全面发展，为未来的成长打下坚实的基础。</w:t>
      </w:r>
    </w:p>
    <w:p w14:paraId="0B5ACE23">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45" w:name="_Toc553"/>
      <w:bookmarkStart w:id="246" w:name="_Toc3878"/>
      <w:bookmarkStart w:id="247" w:name="_Toc19225"/>
      <w:r>
        <w:rPr>
          <w:rFonts w:hint="eastAsia"/>
          <w:lang w:val="en-US" w:eastAsia="zh-CN"/>
        </w:rPr>
        <w:t>2.7.4特教中心在校体验心理情况</w:t>
      </w:r>
      <w:bookmarkEnd w:id="245"/>
      <w:bookmarkEnd w:id="246"/>
      <w:bookmarkEnd w:id="247"/>
    </w:p>
    <w:p w14:paraId="4BDD0B3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学校高度重视视障学生的全面发展，积极落实劳育和美育必修课程，培育有强健体魄、扎实学识、仁爱之心的学生。学校附设中职班开设有金鹰自强社1个社团，依托学校体卫艺开展的阳光体育节和组织的扬帆管乐团，学生活动形式丰富多彩。学生参与志愿服务活动：重庆市“馨小青”助残“阳光行动”志愿服务技能大赛，植物园义务按摩服务活动。学生参与心理健康教育：新生心理健康测评、收听心理健康教育讲座。学生参与其他活动：重庆市中药研究院研学活动、第四届人体体表标志触摸大赛、“书香南岸、阅读悦美”经典朗读活动、“传承五四精神、放飞青春梦想”五四青年节系列活动、职业教育活动月活动、“技能成才、强国有我”系列活动。</w:t>
      </w:r>
    </w:p>
    <w:p w14:paraId="32C4C056">
      <w:pPr>
        <w:pStyle w:val="38"/>
        <w:bidi w:val="0"/>
        <w:rPr>
          <w:rFonts w:hint="eastAsia"/>
          <w:lang w:val="en-US" w:eastAsia="zh-CN"/>
        </w:rPr>
      </w:pPr>
      <w:bookmarkStart w:id="248" w:name="_Toc24693"/>
      <w:r>
        <w:rPr>
          <w:rFonts w:hint="eastAsia"/>
          <w:lang w:val="en-US" w:eastAsia="zh-CN"/>
        </w:rPr>
        <w:t>表14 满意度调查表</w:t>
      </w:r>
      <w:bookmarkEnd w:id="248"/>
    </w:p>
    <w:tbl>
      <w:tblPr>
        <w:tblStyle w:val="31"/>
        <w:tblW w:w="500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01"/>
        <w:gridCol w:w="3899"/>
        <w:gridCol w:w="802"/>
        <w:gridCol w:w="1033"/>
        <w:gridCol w:w="1168"/>
        <w:gridCol w:w="1169"/>
      </w:tblGrid>
      <w:tr w14:paraId="0E59A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000A229A">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序号</w:t>
            </w:r>
          </w:p>
        </w:tc>
        <w:tc>
          <w:tcPr>
            <w:tcW w:w="219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5CC63462">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指标</w:t>
            </w:r>
          </w:p>
        </w:tc>
        <w:tc>
          <w:tcPr>
            <w:tcW w:w="45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6E30C139">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单位</w:t>
            </w:r>
          </w:p>
        </w:tc>
        <w:tc>
          <w:tcPr>
            <w:tcW w:w="582"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6AF47036">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2024年</w:t>
            </w:r>
          </w:p>
        </w:tc>
        <w:tc>
          <w:tcPr>
            <w:tcW w:w="658"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2D407784">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调查人次</w:t>
            </w:r>
          </w:p>
        </w:tc>
        <w:tc>
          <w:tcPr>
            <w:tcW w:w="658"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tcBorders>
            <w:shd w:val="clear" w:color="auto" w:fill="4874CB" w:themeFill="accent1"/>
            <w:vAlign w:val="center"/>
          </w:tcPr>
          <w:p w14:paraId="09E86CC3">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调查方式</w:t>
            </w:r>
          </w:p>
        </w:tc>
      </w:tr>
      <w:tr w14:paraId="105BD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restar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8BC03E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w:t>
            </w:r>
          </w:p>
        </w:tc>
        <w:tc>
          <w:tcPr>
            <w:tcW w:w="219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5BFA24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在校生满意度</w:t>
            </w:r>
          </w:p>
        </w:tc>
        <w:tc>
          <w:tcPr>
            <w:tcW w:w="45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AF87D2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1601A3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58"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F3C707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3052</w:t>
            </w:r>
          </w:p>
        </w:tc>
        <w:tc>
          <w:tcPr>
            <w:tcW w:w="658"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1B47E7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r w14:paraId="68062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839C29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CA9A8B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其中：课堂育人满意度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01B12F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2D6AAC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6DC2E3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3052</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3221C1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r w14:paraId="4E17D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50EEBD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ED41AC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课外育人满意度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1C2011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511915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7D878F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3052</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63C7922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r w14:paraId="644A2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23ED64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05988B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思想政治课教学满意度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DEB47D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19B19B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231179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3052</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E70A57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r w14:paraId="7B8E2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E6CE35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DD6FF2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公共基础课（不含思想政治课）教学满意度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405B6F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D5697F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6F7FA6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3052</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E79AC9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r w14:paraId="53D83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A06A05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0A4870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专业课教学满意度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6ACA1F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BF7FC9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49A80A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3052</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8D0789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r w14:paraId="51611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8570C7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w:t>
            </w: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0D456F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毕业生满意度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378568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1F7BC9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97</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7BB57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676</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6E8DF8F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在线问卷</w:t>
            </w:r>
          </w:p>
        </w:tc>
      </w:tr>
      <w:tr w14:paraId="67614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BE9D1B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391DB2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其中：应届毕业生满意度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22D17C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AA5776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100</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2DCED4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204</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234D3F1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在线问卷</w:t>
            </w:r>
          </w:p>
        </w:tc>
      </w:tr>
      <w:tr w14:paraId="7A706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183AAA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E6B209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毕业三年内毕业生满意度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0A7223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017090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94</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DAE34C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472</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54E6417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在线问卷</w:t>
            </w:r>
          </w:p>
        </w:tc>
      </w:tr>
      <w:tr w14:paraId="1D2C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7E13A5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w:t>
            </w: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C25526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教职工满意度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9EFFCF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4DC902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179986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213</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34E9837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r w14:paraId="560D0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7B1D1A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4</w:t>
            </w:r>
          </w:p>
        </w:tc>
        <w:tc>
          <w:tcPr>
            <w:tcW w:w="219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11FD18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用人单位满意度</w:t>
            </w:r>
          </w:p>
        </w:tc>
        <w:tc>
          <w:tcPr>
            <w:tcW w:w="45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8C33C6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81A94C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100</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A475C2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82</w:t>
            </w:r>
          </w:p>
        </w:tc>
        <w:tc>
          <w:tcPr>
            <w:tcW w:w="658"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0BB11AB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在线问卷</w:t>
            </w:r>
          </w:p>
        </w:tc>
      </w:tr>
      <w:tr w14:paraId="6E91A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1"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vAlign w:val="center"/>
          </w:tcPr>
          <w:p w14:paraId="1A1BA44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5</w:t>
            </w:r>
          </w:p>
        </w:tc>
        <w:tc>
          <w:tcPr>
            <w:tcW w:w="219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41FF4C0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家长满意度</w:t>
            </w:r>
          </w:p>
        </w:tc>
        <w:tc>
          <w:tcPr>
            <w:tcW w:w="45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6BDF088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w:t>
            </w:r>
          </w:p>
        </w:tc>
        <w:tc>
          <w:tcPr>
            <w:tcW w:w="58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0E392FA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90</w:t>
            </w:r>
          </w:p>
        </w:tc>
        <w:tc>
          <w:tcPr>
            <w:tcW w:w="65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2CF317D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1590</w:t>
            </w:r>
          </w:p>
        </w:tc>
        <w:tc>
          <w:tcPr>
            <w:tcW w:w="658"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FFFFFF"/>
            <w:vAlign w:val="center"/>
          </w:tcPr>
          <w:p w14:paraId="0D85FDE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网上调查</w:t>
            </w:r>
          </w:p>
        </w:tc>
      </w:tr>
    </w:tbl>
    <w:p w14:paraId="63193127">
      <w:pPr>
        <w:pStyle w:val="2"/>
        <w:keepNext w:val="0"/>
        <w:keepLines w:val="0"/>
        <w:pageBreakBefore w:val="0"/>
        <w:widowControl w:val="0"/>
        <w:numPr>
          <w:ilvl w:val="0"/>
          <w:numId w:val="0"/>
        </w:numPr>
        <w:kinsoku/>
        <w:wordWrap/>
        <w:overflowPunct/>
        <w:topLinePunct w:val="0"/>
        <w:autoSpaceDE/>
        <w:autoSpaceDN/>
        <w:bidi w:val="0"/>
        <w:spacing w:before="0" w:after="0" w:line="600" w:lineRule="exact"/>
        <w:ind w:left="432" w:hanging="432"/>
        <w:textAlignment w:val="auto"/>
        <w:rPr>
          <w:rFonts w:ascii="Times New Roman" w:hAnsi="Times New Roman" w:eastAsia="方正黑体_GBK" w:cs="Times New Roman"/>
          <w:b w:val="0"/>
          <w:bCs/>
          <w:color w:val="auto"/>
          <w:sz w:val="32"/>
          <w:szCs w:val="20"/>
          <w:highlight w:val="none"/>
        </w:rPr>
      </w:pPr>
      <w:bookmarkStart w:id="249" w:name="_Toc7344"/>
      <w:bookmarkStart w:id="250" w:name="_Toc26115"/>
      <w:bookmarkStart w:id="251" w:name="_Toc12227"/>
      <w:bookmarkStart w:id="252" w:name="_Toc25383"/>
      <w:bookmarkStart w:id="253" w:name="_Toc24518"/>
      <w:r>
        <w:rPr>
          <w:rFonts w:hint="eastAsia" w:ascii="Times New Roman" w:hAnsi="Times New Roman" w:eastAsia="方正黑体_GBK" w:cs="Times New Roman"/>
          <w:b w:val="0"/>
          <w:bCs/>
          <w:color w:val="auto"/>
          <w:sz w:val="32"/>
          <w:szCs w:val="20"/>
          <w:highlight w:val="none"/>
          <w:lang w:val="en-US" w:eastAsia="zh-CN"/>
        </w:rPr>
        <w:t>3</w:t>
      </w:r>
      <w:r>
        <w:rPr>
          <w:rFonts w:ascii="Times New Roman" w:hAnsi="Times New Roman" w:eastAsia="方正黑体_GBK" w:cs="Times New Roman"/>
          <w:b w:val="0"/>
          <w:bCs/>
          <w:color w:val="auto"/>
          <w:sz w:val="32"/>
          <w:szCs w:val="20"/>
          <w:highlight w:val="none"/>
        </w:rPr>
        <w:t>.产教融合</w:t>
      </w:r>
      <w:bookmarkEnd w:id="249"/>
      <w:bookmarkEnd w:id="250"/>
      <w:bookmarkEnd w:id="251"/>
      <w:bookmarkEnd w:id="252"/>
      <w:bookmarkEnd w:id="253"/>
    </w:p>
    <w:p w14:paraId="1DE16E6E">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54" w:name="_Toc21366"/>
      <w:bookmarkStart w:id="255" w:name="_Toc15319"/>
      <w:bookmarkStart w:id="256" w:name="_Toc7738"/>
      <w:r>
        <w:rPr>
          <w:rFonts w:hint="eastAsia"/>
          <w:lang w:val="en-US" w:eastAsia="zh-CN"/>
        </w:rPr>
        <w:t>3.1“两翼”情况</w:t>
      </w:r>
      <w:bookmarkEnd w:id="254"/>
      <w:bookmarkEnd w:id="255"/>
      <w:bookmarkEnd w:id="256"/>
    </w:p>
    <w:p w14:paraId="3B91077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南岸区积极参与市域产教联合体建设，探索政校企三方联动的区域产教联合体的建设，制定并形成区域产教联合体方案1份。</w:t>
      </w:r>
    </w:p>
    <w:p w14:paraId="5AF9857B">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57" w:name="_Toc3877"/>
      <w:bookmarkStart w:id="258" w:name="_Toc2096"/>
      <w:bookmarkStart w:id="259" w:name="_Toc17651"/>
      <w:r>
        <w:rPr>
          <w:rFonts w:hint="eastAsia"/>
          <w:lang w:val="en-US" w:eastAsia="zh-CN"/>
        </w:rPr>
        <w:t>3.2校企合作</w:t>
      </w:r>
      <w:bookmarkEnd w:id="257"/>
      <w:bookmarkEnd w:id="258"/>
      <w:bookmarkEnd w:id="259"/>
    </w:p>
    <w:p w14:paraId="7D530B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color w:val="auto"/>
          <w:sz w:val="32"/>
          <w:szCs w:val="32"/>
          <w:highlight w:val="none"/>
          <w:lang w:val="en-US" w:eastAsia="zh-CN"/>
        </w:rPr>
        <w:t>南岸区积极推进校企合作、产教融合，</w:t>
      </w:r>
      <w:r>
        <w:rPr>
          <w:rFonts w:hint="eastAsia" w:ascii="Times New Roman" w:hAnsi="Times New Roman" w:eastAsia="方正仿宋_GBK" w:cs="Times New Roman"/>
          <w:color w:val="auto"/>
          <w:sz w:val="32"/>
          <w:szCs w:val="32"/>
          <w:lang w:val="en-US" w:eastAsia="zh-CN"/>
        </w:rPr>
        <w:t>校企共同建设、共同培养、共同管</w:t>
      </w:r>
      <w:r>
        <w:rPr>
          <w:rFonts w:hint="eastAsia" w:ascii="Times New Roman" w:hAnsi="Times New Roman" w:eastAsia="方正仿宋_GBK" w:cs="Times New Roman"/>
          <w:b w:val="0"/>
          <w:bCs w:val="0"/>
          <w:color w:val="auto"/>
          <w:sz w:val="32"/>
          <w:szCs w:val="32"/>
          <w:lang w:val="en-US" w:eastAsia="zh-CN"/>
        </w:rPr>
        <w:t>理。龙门浩职业中学校校企共建电子商务高水平产教融合实训基地、人工智能与大数据产教融合实训基地、龙职网易数字创意产业学院、智能制造产业学院市级产教融合实训基地3个，市级现代学徒制试点1个。在生产场景中开展专业学习与岗位训练相结合，培养了智能制造、电商学徒96人。参加全国职业院校活动周展示1次，开展市级职教展示活动2次，辐射超1万人次。机电工程高级技工学校以技能</w:t>
      </w:r>
      <w:r>
        <w:rPr>
          <w:rFonts w:hint="eastAsia" w:ascii="Times New Roman" w:hAnsi="Times New Roman" w:eastAsia="方正仿宋_GBK" w:cs="Times New Roman"/>
          <w:color w:val="auto"/>
          <w:sz w:val="32"/>
          <w:szCs w:val="32"/>
          <w:lang w:val="en-US" w:eastAsia="zh-CN"/>
        </w:rPr>
        <w:t>为基础、以技能为中心，不断优化人才培养方案，不断精准人才培养定位，根据企业人才需求与企业共同开设专业、研发课程，组建“双导师制度”，与宁波华众控股有限公司、上海三菱电梯重庆分公司、重庆长江轴承股份有限公司等签订合作培养协议，以汽车维修、电梯以及机电等专业特设订单冠名班，实施“订单培养”。企业与学校共建实训室，派遣企业导师入校教学，为企业培养符合其要求的技能人才。邀请企业导师深度参与专业的学习规划、教材研发、课程安排、教学设计、教学实施等教学环节，学生可学习到企业先进的管理理念与专业知识，时刻向经验丰富、技艺精湛、贴近行业的前辈“取经”。另外，学校积极探索校企合作新模式，与盟讯公司开展合作办学，培育电子专业人才，将“学校/课堂”搬进企</w:t>
      </w:r>
      <w:r>
        <w:rPr>
          <w:rFonts w:hint="eastAsia" w:ascii="Times New Roman" w:hAnsi="Times New Roman" w:eastAsia="方正仿宋_GBK" w:cs="Times New Roman"/>
          <w:b w:val="0"/>
          <w:bCs w:val="0"/>
          <w:color w:val="auto"/>
          <w:sz w:val="32"/>
          <w:szCs w:val="32"/>
          <w:lang w:val="en-US" w:eastAsia="zh-CN"/>
        </w:rPr>
        <w:t>业、搬进工厂，将理论与实践密切结合，持续推进学生学习、实践、再学习、再实践的循环过程。</w:t>
      </w:r>
    </w:p>
    <w:p w14:paraId="65AACA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特殊教育中心与康平医院达成校企合作</w:t>
      </w:r>
      <w:r>
        <w:rPr>
          <w:rFonts w:hint="eastAsia" w:ascii="Times New Roman" w:hAnsi="Times New Roman" w:eastAsia="方正仿宋_GBK" w:cs="Times New Roman"/>
          <w:color w:val="auto"/>
          <w:sz w:val="32"/>
          <w:szCs w:val="32"/>
          <w:lang w:val="en-US" w:eastAsia="zh-CN"/>
        </w:rPr>
        <w:t>，2021级共有3名学生在实习实训基地实习。</w:t>
      </w:r>
    </w:p>
    <w:p w14:paraId="6C7F227F">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60" w:name="_Toc9664"/>
      <w:bookmarkStart w:id="261" w:name="_Toc30574"/>
      <w:bookmarkStart w:id="262" w:name="_Toc19466"/>
      <w:r>
        <w:rPr>
          <w:rFonts w:hint="eastAsia"/>
          <w:lang w:val="en-US" w:eastAsia="zh-CN"/>
        </w:rPr>
        <w:t>3.3实习实训</w:t>
      </w:r>
      <w:bookmarkEnd w:id="260"/>
      <w:bookmarkEnd w:id="261"/>
      <w:bookmarkEnd w:id="262"/>
    </w:p>
    <w:p w14:paraId="74EFD7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高度重视实习实训工作，严格落实重庆市教育委员会关于实习管理的《工作提醒》要求；召开中职学校实习管理工作会，组织学习《职业学校学生实习管理规定》，对实习工作管理和注意事项做指导；做好实习工作专项检查，了解实习情况，落实实习人数、批次、单位、时间和回校安排；实地走访、调研实习企业，找实习工作亮点和做法，发现实习过程中出现的问题并及时解决；电话调研实习学生，了解学生实习最新动态和真实反馈；根据重庆市教育委员会《关于加强高职分类考试招生预录取学生管理工作问题》（渝教高发〔2016〕27号）文件要求，对高职分类考试后的学生做好统筹管理，结合实际，精心组织，周密安排，明确责任，落实措施，认真做好有关工作。</w:t>
      </w:r>
    </w:p>
    <w:p w14:paraId="64BC3D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龙门浩职业中学校2024年新增校企合作企业4家，合作企业接收教师企业实践31人，合作企业接收学生实习比例100%，积极为区域支柱产业与重点企</w:t>
      </w:r>
      <w:r>
        <w:rPr>
          <w:rFonts w:hint="eastAsia" w:ascii="Times New Roman" w:hAnsi="Times New Roman" w:eastAsia="方正仿宋_GBK" w:cs="Times New Roman"/>
          <w:color w:val="auto"/>
          <w:sz w:val="32"/>
          <w:szCs w:val="32"/>
          <w:lang w:val="en-US" w:eastAsia="zh-CN"/>
        </w:rPr>
        <w:t>业的生产经营提供服务性支撑，组织开展学生实习专题培训，落实执行每月一次的实习管理教师工作例会机制到位；协作实习单位做好学生安全管理教育与行为规范教育，防范杜绝安全事故与意外事故的发生；密切与家长的沟通交流确保实习学生的思想情绪稳定，确保实习工作秩序的平稳有序；推进1+X证书制度试点，学生获得幼儿照护、跨境电商等12个证书；成功获建电子商务高水平产教融合实训基地。</w:t>
      </w:r>
    </w:p>
    <w:p w14:paraId="7228BF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机电工程高级技工学校合作企业接收教师企业实践人数60人、合作企业接收学生实习人数达到1579人次、企业对学校部分合作专业的教育教学设备进行共</w:t>
      </w:r>
      <w:r>
        <w:rPr>
          <w:rFonts w:hint="eastAsia" w:ascii="Times New Roman" w:hAnsi="Times New Roman" w:eastAsia="方正仿宋_GBK" w:cs="Times New Roman"/>
          <w:color w:val="auto"/>
          <w:sz w:val="32"/>
          <w:szCs w:val="32"/>
          <w:lang w:val="en-US" w:eastAsia="zh-CN"/>
        </w:rPr>
        <w:t>享、共研、共实践、双方积极参与实训基地建设、实习管理、学生职业技能鉴定等情况，对口实习率达到95%以上。学校与企业定期对实习情况进行评估和反馈，及时解决实习过程中出现的问题。</w:t>
      </w:r>
      <w:r>
        <w:rPr>
          <w:rFonts w:hint="eastAsia" w:ascii="Times New Roman" w:hAnsi="Times New Roman" w:eastAsia="方正仿宋_GBK" w:cs="Times New Roman"/>
          <w:b w:val="0"/>
          <w:bCs w:val="0"/>
          <w:color w:val="auto"/>
          <w:sz w:val="32"/>
          <w:szCs w:val="32"/>
          <w:lang w:val="en-US" w:eastAsia="zh-CN"/>
        </w:rPr>
        <w:t>学校与行业协会定期组织学生参加职业技能鉴定考试，确保学生能够获得行业认可的职业资格证书。</w:t>
      </w:r>
    </w:p>
    <w:p w14:paraId="4ED9B4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特教中心针对学生实习实训，制定了全面且完善的实习管理规定，成立了专门实习领导工作小组。在实习过程管理中，每位实习学生配备有双导师，</w:t>
      </w:r>
      <w:r>
        <w:rPr>
          <w:rFonts w:hint="eastAsia" w:ascii="Times New Roman" w:hAnsi="Times New Roman" w:eastAsia="方正仿宋_GBK" w:cs="Times New Roman"/>
          <w:color w:val="auto"/>
          <w:sz w:val="32"/>
          <w:szCs w:val="32"/>
          <w:lang w:val="en-US" w:eastAsia="zh-CN"/>
        </w:rPr>
        <w:t>即校内指导教师与企业师傅。校内教师定期巡查，企业师傅全程指导。安全保障上，实习前组织学生参加安全教育培训，涵盖生产安全、人身安全、信息安全等多领域知识与应急处理技能学习。为学生购买足额实习保险，与实习企业签订安全责任书，明确双方安全管理责任与义务，构建全方位安全防护网络。2023学年，校企合作单位康平医院接收实习学生3人，接收教师企业实践数1个。</w:t>
      </w:r>
    </w:p>
    <w:p w14:paraId="1CE1A5C2">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63" w:name="_Toc4449"/>
      <w:bookmarkStart w:id="264" w:name="_Toc16247"/>
      <w:bookmarkStart w:id="265" w:name="_Toc26178"/>
      <w:r>
        <w:rPr>
          <w:rFonts w:hint="eastAsia"/>
          <w:lang w:val="en-US" w:eastAsia="zh-CN"/>
        </w:rPr>
        <w:t>3.4双师共培</w:t>
      </w:r>
      <w:bookmarkEnd w:id="263"/>
      <w:bookmarkEnd w:id="264"/>
      <w:bookmarkEnd w:id="265"/>
    </w:p>
    <w:p w14:paraId="51A8C57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龙门浩职业中学校积极开展</w:t>
      </w:r>
      <w:r>
        <w:rPr>
          <w:rFonts w:hint="eastAsia" w:ascii="Times New Roman" w:hAnsi="Times New Roman" w:eastAsia="方正楷体_GBK" w:cs="Times New Roman"/>
          <w:b w:val="0"/>
          <w:bCs w:val="0"/>
          <w:color w:val="auto"/>
          <w:sz w:val="32"/>
          <w:szCs w:val="32"/>
          <w:lang w:val="en-US" w:eastAsia="zh-CN"/>
        </w:rPr>
        <w:t>双师共培，</w:t>
      </w:r>
      <w:r>
        <w:rPr>
          <w:rFonts w:hint="eastAsia" w:ascii="Times New Roman" w:hAnsi="Times New Roman" w:eastAsia="方正仿宋_GBK" w:cs="Times New Roman"/>
          <w:b w:val="0"/>
          <w:bCs w:val="0"/>
          <w:color w:val="auto"/>
          <w:sz w:val="32"/>
          <w:szCs w:val="32"/>
          <w:lang w:val="en-US" w:eastAsia="zh-CN"/>
        </w:rPr>
        <w:t>与行业接轨，与企业共培，开展产业导师特聘项目，与重庆机电增材制造有限公司、吉利汽车重庆轩辚汽车销售服务有限公司合作共计培训教师40人次，学生500人次。共建段虎明产业导师工作室，撰写校企合作、教学改革相关案例2篇。2023年新评定初级双师17人，认定中级双师8人。学校双师人数达到现有204人，其中高级双师28人，中级双师82人，初级双师94人。</w:t>
      </w:r>
    </w:p>
    <w:p w14:paraId="12CE925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机电工程高级技工学校积极与行业企业合作，共同开发课程内容，确保教学内容与行业需求同步更新</w:t>
      </w:r>
      <w:r>
        <w:rPr>
          <w:rFonts w:hint="eastAsia" w:ascii="Times New Roman" w:hAnsi="Times New Roman" w:eastAsia="方正仿宋_GBK" w:cs="Times New Roman"/>
          <w:color w:val="auto"/>
          <w:sz w:val="32"/>
          <w:szCs w:val="32"/>
          <w:lang w:val="en-US" w:eastAsia="zh-CN"/>
        </w:rPr>
        <w:t>。通过这种方式，学生能够学习到最新的行业知识和技能，为将来顺利进入职场打下坚实的基础。此外，学校还注重教师的专业发展，定期组织教师参加各类培训和学术交流活动，以提升教师的教学能力和科研水平。通过这些措施，学校旨在打造一支既懂理论又懂实践的“双师型”教师队伍，为学生提供更高质量的教育。在双师共培的模式下，学校还鼓励教师参与企业项目，通过实际工作经历来丰富教学案例，使教学内容更加生动、实用。同时，教师也能将最新的行业动态和技术创新带入课堂，让学生能够及时了解行业前沿。通过这些努力，学校在产教融合方面取得了显著成效，不仅提升了学生的实践能力，也为社会培养了大量高素质的技术技能人才。</w:t>
      </w:r>
    </w:p>
    <w:p w14:paraId="6B84BF78">
      <w:pPr>
        <w:pStyle w:val="2"/>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66" w:name="_Toc11253"/>
      <w:bookmarkStart w:id="267" w:name="_Toc11677"/>
      <w:bookmarkStart w:id="268" w:name="_Toc27179"/>
      <w:bookmarkStart w:id="269" w:name="_Toc22600"/>
      <w:bookmarkStart w:id="270" w:name="_Toc23544"/>
      <w:r>
        <w:rPr>
          <w:rFonts w:hint="eastAsia"/>
          <w:lang w:val="en-US" w:eastAsia="zh-CN"/>
        </w:rPr>
        <w:t>4.服务贡献</w:t>
      </w:r>
      <w:bookmarkEnd w:id="266"/>
      <w:bookmarkEnd w:id="267"/>
      <w:bookmarkEnd w:id="268"/>
      <w:bookmarkEnd w:id="269"/>
      <w:bookmarkEnd w:id="270"/>
    </w:p>
    <w:p w14:paraId="47655390">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71" w:name="_Toc10785"/>
      <w:bookmarkStart w:id="272" w:name="_Toc16482"/>
      <w:bookmarkStart w:id="273" w:name="_Toc15861"/>
      <w:r>
        <w:rPr>
          <w:rFonts w:hint="eastAsia"/>
          <w:lang w:val="en-US" w:eastAsia="zh-CN"/>
        </w:rPr>
        <w:t>4.1服务行业企业</w:t>
      </w:r>
      <w:bookmarkEnd w:id="271"/>
      <w:bookmarkEnd w:id="272"/>
      <w:bookmarkEnd w:id="273"/>
    </w:p>
    <w:p w14:paraId="3E32BC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加强和企业之间的联系，组织财商专业师生到佳天下装饰企业进行实地参观，为学生提供直接接触企业的机会，让学生对未来的职业规划和就业方向有更明确的认识，为行业发展贡献力量；加强学生专业技能和社会商业需求的紧密联系，组织电子商务专业学生与德庄好食先电子商务有限公司开展直播活动，实现教学与实践有效衔接，为企业创新发展输入了新鲜血液；提高学生职业技能和职业素养，进一步深化校企合作、提高人才培养质量，派遣1200余名学生至重庆尼依格罗酒店有限公司、重庆京东方显示技术有限公司、重庆京邦达物流有限公司、旭硕科技（重庆）有限公司等24家企业实习，为学生提供全面的支持与服务，从安顿住宿、协助入职到帮助学生熟悉工作环境，再到学生岗前培训，确保每位学生都能顺利融入实习岗位，开启职业生涯的新篇章。</w:t>
      </w:r>
    </w:p>
    <w:p w14:paraId="61436F0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机电工程高级技工学校全面推广使用重庆市职业培训信息管理平台，实行补贴性培训，做到“凡</w:t>
      </w:r>
      <w:r>
        <w:rPr>
          <w:rFonts w:hint="eastAsia" w:ascii="Times New Roman" w:hAnsi="Times New Roman" w:eastAsia="方正仿宋_GBK" w:cs="Times New Roman"/>
          <w:color w:val="auto"/>
          <w:sz w:val="32"/>
          <w:szCs w:val="32"/>
          <w:lang w:val="en-US" w:eastAsia="zh-CN"/>
        </w:rPr>
        <w:t>补必进，不进不补”，实现承担补贴性培训任务的职业培训，确保培训过程可追溯、质量可监控，培训信息全面真实准确。实施培训对象多元化评价，认真组织结业考试或委托第三方机构进行考核评价，核发合格证书，提高评价、认定、考核工作质量。学校统一规范了职业技能培训合格证书，建立了培训合格证书编码规则，并且加强学校对职业培训的规范建设，制定培训计划，健全培训师资，完善培训设施，建立工作台账，更好地提高了培训质量。2023-2024年度，学校开展新市民培训983人次。</w:t>
      </w:r>
    </w:p>
    <w:p w14:paraId="189D20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特教中心充分发挥中医康复技术专业优势，通过校内实习指导教师定期巡查实习企</w:t>
      </w:r>
      <w:r>
        <w:rPr>
          <w:rFonts w:hint="eastAsia" w:ascii="Times New Roman" w:hAnsi="Times New Roman" w:eastAsia="方正仿宋_GBK" w:cs="Times New Roman"/>
          <w:color w:val="auto"/>
          <w:sz w:val="32"/>
          <w:szCs w:val="32"/>
          <w:lang w:val="en-US" w:eastAsia="zh-CN"/>
        </w:rPr>
        <w:t>业，积极对接行业企业需求，致力于培养兼具精湛技术技能与优良职业素养的专业人才。深入开展校企合作，聘请重庆医仕大旨健康管理咨询有限公司老师到校授课，引入企业真实案例，让学生在实践中熟练掌握中医康复手法等核心技能。同时举办专家讲座，传授行业前沿知识和实践经验，着重培养学生沟通能力、团队协作精神以及职业道德素养。通过一系列举措，2023学年学校附设中职班向行业企业输送了8名中医康复技术专业人才。</w:t>
      </w:r>
    </w:p>
    <w:p w14:paraId="351B0E90">
      <w:pPr>
        <w:pStyle w:val="38"/>
        <w:bidi w:val="0"/>
        <w:rPr>
          <w:rFonts w:hint="eastAsia"/>
          <w:lang w:val="en-US" w:eastAsia="zh-CN"/>
        </w:rPr>
      </w:pPr>
      <w:bookmarkStart w:id="274" w:name="_Toc5880"/>
      <w:r>
        <w:rPr>
          <w:rFonts w:hint="eastAsia"/>
          <w:lang w:val="en-US" w:eastAsia="zh-CN"/>
        </w:rPr>
        <w:t>表15 服务贡献表</w:t>
      </w:r>
      <w:bookmarkEnd w:id="274"/>
    </w:p>
    <w:tbl>
      <w:tblPr>
        <w:tblStyle w:val="3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3"/>
        <w:gridCol w:w="5823"/>
        <w:gridCol w:w="845"/>
        <w:gridCol w:w="1362"/>
      </w:tblGrid>
      <w:tr w14:paraId="5666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2D0ADC5E">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序号</w:t>
            </w:r>
          </w:p>
        </w:tc>
        <w:tc>
          <w:tcPr>
            <w:tcW w:w="3280"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0BD01211">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指标</w:t>
            </w:r>
          </w:p>
        </w:tc>
        <w:tc>
          <w:tcPr>
            <w:tcW w:w="476" w:type="pc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02AAA9CF">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单位</w:t>
            </w:r>
          </w:p>
        </w:tc>
        <w:tc>
          <w:tcPr>
            <w:tcW w:w="767" w:type="pct"/>
            <w:tcBorders>
              <w:top w:val="single" w:color="4874CB" w:themeColor="accent1" w:sz="6" w:space="0"/>
              <w:left w:val="single" w:color="B5C7EA" w:themeColor="accent1" w:themeTint="66" w:sz="6" w:space="0"/>
              <w:bottom w:val="single" w:color="4874CB" w:themeColor="accent1" w:sz="6" w:space="0"/>
              <w:right w:val="single" w:color="4874CB" w:themeColor="accent1" w:sz="6" w:space="0"/>
            </w:tcBorders>
            <w:shd w:val="clear" w:color="auto" w:fill="4874CB" w:themeFill="accent1"/>
            <w:vAlign w:val="center"/>
          </w:tcPr>
          <w:p w14:paraId="0844C4D5">
            <w:pPr>
              <w:widowControl/>
              <w:jc w:val="center"/>
              <w:textAlignment w:val="center"/>
              <w:rPr>
                <w:rFonts w:hint="eastAsia" w:ascii="方正仿宋_GBK" w:hAnsi="方正仿宋_GBK" w:eastAsia="方正仿宋_GBK" w:cs="方正仿宋_GBK"/>
                <w:b/>
                <w:bCs/>
                <w:i w:val="0"/>
                <w:color w:val="FFFFFF"/>
                <w:kern w:val="0"/>
                <w:szCs w:val="21"/>
                <w:lang w:val="en-US" w:eastAsia="zh-CN" w:bidi="ar"/>
              </w:rPr>
            </w:pPr>
            <w:r>
              <w:rPr>
                <w:rFonts w:hint="eastAsia" w:ascii="方正仿宋_GBK" w:hAnsi="方正仿宋_GBK" w:eastAsia="方正仿宋_GBK" w:cs="方正仿宋_GBK"/>
                <w:b/>
                <w:bCs/>
                <w:i w:val="0"/>
                <w:color w:val="FFFFFF"/>
                <w:kern w:val="0"/>
                <w:szCs w:val="21"/>
                <w:lang w:val="en-US" w:eastAsia="zh-CN" w:bidi="ar"/>
              </w:rPr>
              <w:t>2024年</w:t>
            </w:r>
          </w:p>
        </w:tc>
      </w:tr>
      <w:tr w14:paraId="3592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restar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00B322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w:t>
            </w:r>
          </w:p>
        </w:tc>
        <w:tc>
          <w:tcPr>
            <w:tcW w:w="3280"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5F8D23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毕业生初次就业人数*</w:t>
            </w:r>
          </w:p>
        </w:tc>
        <w:tc>
          <w:tcPr>
            <w:tcW w:w="476"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D258EC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人</w:t>
            </w:r>
          </w:p>
        </w:tc>
        <w:tc>
          <w:tcPr>
            <w:tcW w:w="767" w:type="pct"/>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63D4F59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147</w:t>
            </w:r>
          </w:p>
        </w:tc>
      </w:tr>
      <w:tr w14:paraId="13D9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5C446D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1F0AEE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其中：A类：留在当地就业*</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CD8496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人</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0E2DC89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134</w:t>
            </w:r>
          </w:p>
        </w:tc>
      </w:tr>
      <w:tr w14:paraId="23FF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007080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A12F3A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B类：到西部和东北地区就业*</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5B9DE8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人</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797B9BC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734B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7A1DF9B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526608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C类：到中小微企业等基层就业*</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D41859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人</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06AF5C7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121</w:t>
            </w:r>
          </w:p>
        </w:tc>
      </w:tr>
      <w:tr w14:paraId="0DD0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73BEC1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50CC72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D类：到大型企业就业*</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BC18E5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人</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7A7BD491">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26</w:t>
            </w:r>
          </w:p>
        </w:tc>
      </w:tr>
      <w:tr w14:paraId="7FB0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FB34FB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2</w:t>
            </w: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B546CC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横向技术服务到款额</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5A07F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万元</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320C567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7A75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FBFF6A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D114C0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横向技术服务产生的经济效益</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E211DB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万元</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4DF22AE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0D85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CCFB32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3</w:t>
            </w: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0B5057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纵向科研经费到款额*</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624CFD6">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万元</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0A3A800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5B33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31861C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4</w:t>
            </w: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EFB765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技术产权交易收入*</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13461E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万元</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52BAC05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6541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63D3C1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w:t>
            </w: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F65456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知识产权项目数*</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2F5F01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项</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768DD1D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r>
      <w:tr w14:paraId="55F9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053805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8C802B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其中：专利授权数量*</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DE1FA3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项</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42A8F0F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10</w:t>
            </w:r>
          </w:p>
        </w:tc>
      </w:tr>
      <w:tr w14:paraId="145E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577600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FCF267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发明专利授权数量*</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AED36D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项</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05E8994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1057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8ADFA7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62671EC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专利转让数量</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565444">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项</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1486DC92">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35BE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883143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68FB038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专利成果转化到款额</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0A9138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万元</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7241CA53">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0</w:t>
            </w:r>
          </w:p>
        </w:tc>
      </w:tr>
      <w:tr w14:paraId="5043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4616CE5">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6</w:t>
            </w: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FD4EAB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非学历培训项目数*</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979ADC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项</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667DE48C">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59</w:t>
            </w:r>
          </w:p>
        </w:tc>
      </w:tr>
      <w:tr w14:paraId="4588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7877E0B">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8BA0470">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非学历培训学时*</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C51F7C8">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tcPr>
          <w:p w14:paraId="65B66ED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94241</w:t>
            </w:r>
          </w:p>
        </w:tc>
      </w:tr>
      <w:tr w14:paraId="6ADF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A74C3E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p>
        </w:tc>
        <w:tc>
          <w:tcPr>
            <w:tcW w:w="328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4E8D4F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公益项目培训学时*</w:t>
            </w:r>
          </w:p>
        </w:tc>
        <w:tc>
          <w:tcPr>
            <w:tcW w:w="476"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556F367">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个</w:t>
            </w:r>
          </w:p>
        </w:tc>
        <w:tc>
          <w:tcPr>
            <w:tcW w:w="767"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tcPr>
          <w:p w14:paraId="0A0F177A">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18653</w:t>
            </w:r>
          </w:p>
        </w:tc>
      </w:tr>
      <w:tr w14:paraId="471A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5"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vAlign w:val="center"/>
          </w:tcPr>
          <w:p w14:paraId="480E6759">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7</w:t>
            </w:r>
          </w:p>
        </w:tc>
        <w:tc>
          <w:tcPr>
            <w:tcW w:w="328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1FEA2ABD">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非学历培训到账经费</w:t>
            </w:r>
          </w:p>
        </w:tc>
        <w:tc>
          <w:tcPr>
            <w:tcW w:w="476"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vAlign w:val="center"/>
          </w:tcPr>
          <w:p w14:paraId="20D84F9F">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万元</w:t>
            </w:r>
          </w:p>
        </w:tc>
        <w:tc>
          <w:tcPr>
            <w:tcW w:w="767"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FFFFFF"/>
          </w:tcPr>
          <w:p w14:paraId="03A010AE">
            <w:pPr>
              <w:widowControl/>
              <w:jc w:val="center"/>
              <w:textAlignment w:val="center"/>
              <w:rPr>
                <w:rFonts w:hint="eastAsia" w:ascii="方正仿宋_GBK" w:hAnsi="方正仿宋_GBK" w:eastAsia="方正仿宋_GBK" w:cs="方正仿宋_GBK"/>
                <w:b w:val="0"/>
                <w:bCs/>
                <w:i w:val="0"/>
                <w:color w:val="000000"/>
                <w:kern w:val="0"/>
                <w:szCs w:val="21"/>
                <w:lang w:val="en-US" w:eastAsia="zh-CN" w:bidi="ar"/>
              </w:rPr>
            </w:pPr>
            <w:r>
              <w:rPr>
                <w:rFonts w:hint="eastAsia" w:ascii="方正仿宋_GBK" w:hAnsi="方正仿宋_GBK" w:eastAsia="方正仿宋_GBK" w:cs="方正仿宋_GBK"/>
                <w:b w:val="0"/>
                <w:bCs/>
                <w:i w:val="0"/>
                <w:color w:val="000000"/>
                <w:kern w:val="0"/>
                <w:szCs w:val="21"/>
                <w:lang w:val="en-US" w:eastAsia="zh-CN" w:bidi="ar"/>
              </w:rPr>
              <w:t>53.62</w:t>
            </w:r>
          </w:p>
        </w:tc>
      </w:tr>
    </w:tbl>
    <w:p w14:paraId="4640CC0E">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275" w:name="_Toc10965"/>
      <w:bookmarkStart w:id="276" w:name="_Toc21130"/>
      <w:bookmarkStart w:id="277" w:name="_Toc21649"/>
      <w:r>
        <w:rPr>
          <w:rFonts w:hint="eastAsia"/>
          <w:lang w:val="en-US" w:eastAsia="zh-CN"/>
        </w:rPr>
        <w:t>4.2服务地方发展</w:t>
      </w:r>
      <w:bookmarkEnd w:id="275"/>
      <w:bookmarkEnd w:id="276"/>
      <w:bookmarkEnd w:id="277"/>
    </w:p>
    <w:p w14:paraId="6A208C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深入学习贯彻习近平总书记关于职业教育的重要论述指示精神和全国职业教育大会精神，根据《关于推动现代职业教育高质量发展的意见》要求，落实立德树人根本任务，培养更多高素质技术技能人才、能工巧匠、大国工匠，为全面建设社会主义现代化国家提供有力人才和技能支撑，促进不同类型教育横向融通，鼓励职业教育开展社会培训。</w:t>
      </w:r>
    </w:p>
    <w:p w14:paraId="211703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龙门浩职业中学校依托自</w:t>
      </w:r>
      <w:r>
        <w:rPr>
          <w:rFonts w:hint="eastAsia" w:ascii="Times New Roman" w:hAnsi="Times New Roman" w:eastAsia="方正仿宋_GBK" w:cs="Times New Roman"/>
          <w:color w:val="auto"/>
          <w:sz w:val="32"/>
          <w:szCs w:val="32"/>
          <w:lang w:val="en-US" w:eastAsia="zh-CN"/>
        </w:rPr>
        <w:t>身专业特色，开展了一系列社区培训老年教育和中小学生职业体验教育等工作，现已在下浩社区、花园路街道、倒座庙社区、裕华社区、同景社区、香溪社区、长生小学、隆平小学等开展了嗨动龙门皓月健身、郁金香小夜灯、礼仪、茶艺、插花、导游、手绘环保袋、手工编织包、创意小人台服装制作、合唱团指导、新媒体营销、毛线针织编织等等一系列培训课程。既满足了社区居民的精神文化生活，又加强了中小学生职业启蒙教育，大力推进技能技术服务活动，全方位提升社会服务能力，让职业教育更好地服务百姓、服务区域经济发展。依托中职学校资源优势，紧贴本地实际需求，承接了区武装春、秋2批部的新兵役前训练，暑假3批民兵常规训练，为其训练提供强有力的后勤保障工作；承接南岸区国资委三八妇女节的手工口红DIY培训，丰富其精神文化生活；承接南岸区残联盲人保健按摩提升培训工作，提升其专业技能，帮助盲人就业，促进社会和谐发展。</w:t>
      </w:r>
    </w:p>
    <w:p w14:paraId="3D94B4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机电工程高级技工学校开展了</w:t>
      </w:r>
      <w:r>
        <w:rPr>
          <w:rFonts w:hint="eastAsia" w:ascii="Times New Roman" w:hAnsi="Times New Roman" w:eastAsia="方正仿宋_GBK" w:cs="Times New Roman"/>
          <w:color w:val="auto"/>
          <w:sz w:val="32"/>
          <w:szCs w:val="32"/>
          <w:lang w:val="en-US" w:eastAsia="zh-CN"/>
        </w:rPr>
        <w:t>丰富多彩的社区教育活动，帮助提高社区居民的文化素质和技能水平。这些活动包括文化讲座、技能培训、科普宣传等，让居民了解更多的文化知识，掌握更多的实用技能。此外，学校积极参与社区建设，为社区提供支持和帮助，组织志愿者为社区提供服务，如对社区内老年人进行免费的体检，定期由社区组织协调安排，对南岸区长生镇茶花社区区老年人进行免费测量血压等相关的体检项目、环境整治、绿化美化等，促进社区的和谐发展。</w:t>
      </w:r>
    </w:p>
    <w:p w14:paraId="5D00FAAE">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278" w:name="_Toc32357"/>
      <w:bookmarkStart w:id="279" w:name="_Toc14269"/>
      <w:bookmarkStart w:id="280" w:name="_Toc29123"/>
      <w:r>
        <w:rPr>
          <w:rFonts w:hint="eastAsia"/>
          <w:lang w:val="en-US" w:eastAsia="zh-CN"/>
        </w:rPr>
        <w:t>4.3服务国家战略</w:t>
      </w:r>
      <w:bookmarkEnd w:id="278"/>
      <w:bookmarkEnd w:id="279"/>
      <w:bookmarkEnd w:id="280"/>
    </w:p>
    <w:p w14:paraId="2CF552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南岸区按照国家发展战略要求，在推动共建“一带一路”高质量发展、深入实施区域协调发展战略、全面推进乡村振兴、建设数字中国、构建现代产业体系、提升企业技术创新能力。</w:t>
      </w:r>
    </w:p>
    <w:p w14:paraId="4DA211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龙门浩职业中学校根据专业</w:t>
      </w:r>
      <w:r>
        <w:rPr>
          <w:rFonts w:hint="eastAsia" w:ascii="Times New Roman" w:hAnsi="Times New Roman" w:eastAsia="方正仿宋_GBK" w:cs="Times New Roman"/>
          <w:color w:val="auto"/>
          <w:sz w:val="32"/>
          <w:szCs w:val="32"/>
          <w:lang w:val="en-US" w:eastAsia="zh-CN"/>
        </w:rPr>
        <w:t>特色，结合当地实际情况，在先后在迎龙镇北斗村、南山街道放牛村、双龙村、峡口镇大兴场社区、迎龙镇倒座庙社区等村开展“三进行动”培训，服务村民、社区居民300余人次，助力村民玩转新农具开展新农活，得到了当地居民和市区媒体的高度认可；双龙村加快发展花卉盆景产业，结合当地村民需要，开展互联网营销专项培训，参培人数60余人，让职业教育赋能乡村振兴，助力南岸区双龙村花木盆景出圈；切实贯彻落实党的民族政策，2027级定向招录23名西藏学生，在校藏族学生共计73名，为学生提供了5000元/年的生活补贴，推动民族团结进步事业取得长足发展；承接对口帮扶石柱县职教中心的2名教师、西藏教育厅派遣的2名教师以全职脱产方式到学校进行跟岗研修学习，帮助跟岗教师快速提高教学能力、行政工作能力以及持续发展能力；学校电子商务专业的师生们积极响应乡村振兴号召，结合线上线下双重渠道，开展了直播助农带货活动，帮助农民拓宽销售渠道，为乡村振兴贡献更多的青春和力量。</w:t>
      </w:r>
    </w:p>
    <w:p w14:paraId="3A29C5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机电工程高级技工学校派教师到成渝双经济圈的中职院校开展交流活动。学校成立贫困关爱小组，对</w:t>
      </w:r>
      <w:r>
        <w:rPr>
          <w:rFonts w:hint="eastAsia" w:ascii="Times New Roman" w:hAnsi="Times New Roman" w:eastAsia="方正仿宋_GBK" w:cs="Times New Roman"/>
          <w:color w:val="auto"/>
          <w:sz w:val="32"/>
          <w:szCs w:val="32"/>
          <w:lang w:val="en-US" w:eastAsia="zh-CN"/>
        </w:rPr>
        <w:t>建档贫困学生实行长期帮扶、视具体情况，给贫困学生买学习用品、衣服鞋帽或发放现金，组织班主任和任课教师要对贫困学生进行定期家访，及时了解学生在校学习、生活情况，给予关爱，对于因为自然灾害或严重疾病引起的贫困，也给予帮助、探望慰问。</w:t>
      </w:r>
    </w:p>
    <w:p w14:paraId="487F4D2F">
      <w:pPr>
        <w:pStyle w:val="38"/>
        <w:bidi w:val="0"/>
        <w:rPr>
          <w:rFonts w:hint="eastAsia"/>
          <w:lang w:val="en-US" w:eastAsia="zh-CN"/>
        </w:rPr>
      </w:pPr>
      <w:bookmarkStart w:id="281" w:name="_Toc19641"/>
      <w:r>
        <w:rPr>
          <w:rFonts w:hint="eastAsia"/>
          <w:lang w:val="en-US" w:eastAsia="zh-CN"/>
        </w:rPr>
        <w:t xml:space="preserve">表16 </w:t>
      </w:r>
      <w:r>
        <w:rPr>
          <w:rFonts w:hint="eastAsia"/>
        </w:rPr>
        <w:t>中职学校</w:t>
      </w:r>
      <w:r>
        <w:rPr>
          <w:rFonts w:hint="eastAsia"/>
          <w:lang w:val="en-US" w:eastAsia="zh-CN"/>
        </w:rPr>
        <w:t>精准扶贫进行一览表</w:t>
      </w:r>
      <w:bookmarkEnd w:id="281"/>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39"/>
        <w:gridCol w:w="2703"/>
        <w:gridCol w:w="2674"/>
        <w:gridCol w:w="1561"/>
      </w:tblGrid>
      <w:tr w14:paraId="3487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72" w:type="pct"/>
            <w:gridSpan w:val="2"/>
            <w:tcBorders>
              <w:top w:val="single" w:color="4874CB" w:themeColor="accent1" w:sz="6" w:space="0"/>
              <w:left w:val="single" w:color="4874CB" w:themeColor="accent1" w:sz="6" w:space="0"/>
              <w:bottom w:val="single" w:color="4874CB" w:themeColor="accent1" w:sz="6" w:space="0"/>
              <w:right w:val="single" w:color="B5C7EA" w:themeColor="accent1" w:themeTint="66" w:sz="6" w:space="0"/>
              <w:insideV w:val="nil"/>
            </w:tcBorders>
            <w:shd w:val="clear" w:color="auto" w:fill="4874CB" w:themeFill="accent1"/>
            <w:vAlign w:val="center"/>
          </w:tcPr>
          <w:p w14:paraId="01952E67">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bookmarkStart w:id="282" w:name="_Hlk84943920"/>
            <w:r>
              <w:rPr>
                <w:rFonts w:hint="eastAsia" w:ascii="方正仿宋_GBK" w:hAnsi="方正仿宋_GBK" w:eastAsia="方正仿宋_GBK" w:cs="方正仿宋_GBK"/>
                <w:b/>
                <w:bCs w:val="0"/>
                <w:i w:val="0"/>
                <w:color w:val="FFFFFF"/>
                <w:kern w:val="0"/>
                <w:szCs w:val="21"/>
                <w:lang w:val="en-US" w:eastAsia="zh-CN" w:bidi="ar"/>
              </w:rPr>
              <w:t>乡村振兴、美丽乡村建设参与情况</w:t>
            </w:r>
          </w:p>
        </w:tc>
        <w:tc>
          <w:tcPr>
            <w:tcW w:w="3827" w:type="pct"/>
            <w:gridSpan w:val="3"/>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insideV w:val="nil"/>
            </w:tcBorders>
            <w:shd w:val="clear" w:color="auto" w:fill="4874CB" w:themeFill="accent1"/>
            <w:vAlign w:val="center"/>
          </w:tcPr>
          <w:p w14:paraId="1DF719C8">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贫困家庭、贫困学生帮扶情况</w:t>
            </w:r>
          </w:p>
        </w:tc>
      </w:tr>
      <w:tr w14:paraId="37B3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1ACEC2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项目/事项名称</w:t>
            </w:r>
          </w:p>
        </w:tc>
        <w:tc>
          <w:tcPr>
            <w:tcW w:w="407"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EB6316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参与人次</w:t>
            </w:r>
          </w:p>
        </w:tc>
        <w:tc>
          <w:tcPr>
            <w:tcW w:w="2966" w:type="pct"/>
            <w:gridSpan w:val="2"/>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2628E83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项目/事项名称</w:t>
            </w:r>
          </w:p>
        </w:tc>
        <w:tc>
          <w:tcPr>
            <w:tcW w:w="86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3651C2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帮扶人次</w:t>
            </w:r>
          </w:p>
        </w:tc>
      </w:tr>
      <w:bookmarkEnd w:id="282"/>
      <w:tr w14:paraId="5196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DCC7DA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三进行动</w:t>
            </w:r>
          </w:p>
        </w:tc>
        <w:tc>
          <w:tcPr>
            <w:tcW w:w="40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37FE01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300</w:t>
            </w:r>
          </w:p>
        </w:tc>
        <w:tc>
          <w:tcPr>
            <w:tcW w:w="296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6ADEB01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新媒体营销及短视频制作培训</w:t>
            </w:r>
          </w:p>
        </w:tc>
        <w:tc>
          <w:tcPr>
            <w:tcW w:w="8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F2A4DA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300</w:t>
            </w:r>
          </w:p>
        </w:tc>
      </w:tr>
      <w:tr w14:paraId="77B3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85712E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双龙村专项培训</w:t>
            </w:r>
          </w:p>
        </w:tc>
        <w:tc>
          <w:tcPr>
            <w:tcW w:w="40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0C33FB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60</w:t>
            </w:r>
          </w:p>
        </w:tc>
        <w:tc>
          <w:tcPr>
            <w:tcW w:w="296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6493DA1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互联网营销专项培训</w:t>
            </w:r>
          </w:p>
        </w:tc>
        <w:tc>
          <w:tcPr>
            <w:tcW w:w="8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FB53C9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60</w:t>
            </w:r>
          </w:p>
        </w:tc>
      </w:tr>
      <w:tr w14:paraId="071F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65B295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西藏学生对口帮扶</w:t>
            </w:r>
          </w:p>
        </w:tc>
        <w:tc>
          <w:tcPr>
            <w:tcW w:w="40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14E5AF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73</w:t>
            </w:r>
          </w:p>
        </w:tc>
        <w:tc>
          <w:tcPr>
            <w:tcW w:w="296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29B238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帮扶西藏学生，免除学费、住宿费、课本费，并免费提供新生服装，四季床上用品等，生活补贴每人5000元/年、交通补贴1000元/人</w:t>
            </w:r>
          </w:p>
        </w:tc>
        <w:tc>
          <w:tcPr>
            <w:tcW w:w="8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DCABE7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73</w:t>
            </w:r>
          </w:p>
        </w:tc>
      </w:tr>
      <w:tr w14:paraId="29C6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A2E731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石柱县职教中心对口帮扶</w:t>
            </w:r>
          </w:p>
        </w:tc>
        <w:tc>
          <w:tcPr>
            <w:tcW w:w="40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00EAA5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w:t>
            </w:r>
          </w:p>
        </w:tc>
        <w:tc>
          <w:tcPr>
            <w:tcW w:w="296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79A1D97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教师在学校跟岗研修学习</w:t>
            </w:r>
          </w:p>
        </w:tc>
        <w:tc>
          <w:tcPr>
            <w:tcW w:w="8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0E13DF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w:t>
            </w:r>
          </w:p>
        </w:tc>
      </w:tr>
      <w:tr w14:paraId="2CB9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CD598F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西藏教育厅派遣</w:t>
            </w:r>
          </w:p>
        </w:tc>
        <w:tc>
          <w:tcPr>
            <w:tcW w:w="407"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685396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w:t>
            </w:r>
          </w:p>
        </w:tc>
        <w:tc>
          <w:tcPr>
            <w:tcW w:w="2966"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55C6B4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教师在学校跟岗研修学习</w:t>
            </w:r>
          </w:p>
        </w:tc>
        <w:tc>
          <w:tcPr>
            <w:tcW w:w="86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CBC9FA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w:t>
            </w:r>
          </w:p>
        </w:tc>
      </w:tr>
      <w:tr w14:paraId="7008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vMerge w:val="restar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03A152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涉农培训人数（人次）</w:t>
            </w:r>
          </w:p>
        </w:tc>
        <w:tc>
          <w:tcPr>
            <w:tcW w:w="4235" w:type="pct"/>
            <w:gridSpan w:val="4"/>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F3FE9F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街镇、社区、乡村社区教育参与情况</w:t>
            </w:r>
          </w:p>
        </w:tc>
      </w:tr>
      <w:tr w14:paraId="0A44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E88D8D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1899"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D63C61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项目/事项名称</w:t>
            </w:r>
          </w:p>
        </w:tc>
        <w:tc>
          <w:tcPr>
            <w:tcW w:w="2335" w:type="pct"/>
            <w:gridSpan w:val="2"/>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1FED0B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参与人次</w:t>
            </w:r>
          </w:p>
        </w:tc>
      </w:tr>
      <w:tr w14:paraId="03C6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64"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vAlign w:val="center"/>
          </w:tcPr>
          <w:p w14:paraId="1DFA86E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360</w:t>
            </w:r>
          </w:p>
        </w:tc>
        <w:tc>
          <w:tcPr>
            <w:tcW w:w="1899" w:type="pct"/>
            <w:gridSpan w:val="2"/>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vAlign w:val="center"/>
          </w:tcPr>
          <w:p w14:paraId="5F7A431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新媒体营销及短视频制作培训、互联网营销专项培训</w:t>
            </w:r>
          </w:p>
        </w:tc>
        <w:tc>
          <w:tcPr>
            <w:tcW w:w="2335" w:type="pct"/>
            <w:gridSpan w:val="2"/>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vAlign w:val="center"/>
          </w:tcPr>
          <w:p w14:paraId="1C0E8D7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360</w:t>
            </w:r>
          </w:p>
        </w:tc>
      </w:tr>
    </w:tbl>
    <w:p w14:paraId="1B9C8B39">
      <w:pPr>
        <w:bidi w:val="0"/>
        <w:rPr>
          <w:rFonts w:hint="eastAsia" w:ascii="Times New Roman" w:hAnsi="Times New Roman" w:eastAsia="方正仿宋_GBK" w:cs="Times New Roman"/>
          <w:color w:val="auto"/>
          <w:sz w:val="32"/>
          <w:szCs w:val="32"/>
          <w:lang w:val="en-US" w:eastAsia="zh-CN"/>
        </w:rPr>
      </w:pPr>
    </w:p>
    <w:p w14:paraId="1BF14BF9">
      <w:pPr>
        <w:pStyle w:val="2"/>
        <w:keepNext w:val="0"/>
        <w:keepLines w:val="0"/>
        <w:pageBreakBefore w:val="0"/>
        <w:widowControl w:val="0"/>
        <w:kinsoku/>
        <w:wordWrap/>
        <w:overflowPunct/>
        <w:topLinePunct w:val="0"/>
        <w:autoSpaceDE/>
        <w:autoSpaceDN/>
        <w:bidi w:val="0"/>
        <w:spacing w:line="600" w:lineRule="exact"/>
        <w:textAlignment w:val="auto"/>
      </w:pPr>
      <w:bookmarkStart w:id="283" w:name="_Toc19804"/>
      <w:bookmarkStart w:id="284" w:name="_Toc29261"/>
      <w:bookmarkStart w:id="285" w:name="_Toc8686"/>
      <w:bookmarkStart w:id="286" w:name="_Toc13937"/>
      <w:bookmarkStart w:id="287" w:name="_Toc20159"/>
      <w:r>
        <w:rPr>
          <w:rFonts w:hint="eastAsia"/>
          <w:lang w:val="en-US" w:eastAsia="zh-CN"/>
        </w:rPr>
        <w:t>5</w:t>
      </w:r>
      <w:r>
        <w:t>.文化传承</w:t>
      </w:r>
      <w:bookmarkEnd w:id="283"/>
      <w:bookmarkEnd w:id="284"/>
      <w:bookmarkEnd w:id="285"/>
      <w:bookmarkEnd w:id="286"/>
      <w:bookmarkEnd w:id="287"/>
    </w:p>
    <w:p w14:paraId="106379FB">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88" w:name="_Toc22624"/>
      <w:bookmarkStart w:id="289" w:name="_Toc3980"/>
      <w:bookmarkStart w:id="290" w:name="_Toc14014"/>
      <w:r>
        <w:rPr>
          <w:rFonts w:hint="eastAsia"/>
          <w:lang w:val="en-US" w:eastAsia="zh-CN"/>
        </w:rPr>
        <w:t>5.1传承工匠精神</w:t>
      </w:r>
      <w:bookmarkEnd w:id="288"/>
      <w:bookmarkEnd w:id="289"/>
      <w:bookmarkEnd w:id="290"/>
    </w:p>
    <w:p w14:paraId="5F9456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南岸区贯彻落实《关于全面加强新时代大中小学劳动教育的意见》和《大中小学劳动教育指导纲要（试行）》文件。</w:t>
      </w:r>
    </w:p>
    <w:p w14:paraId="59EEB6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龙门浩职业中学校积极弘扬劳模精神、劳动精神和工匠精神，通过一系列活动，激励广大师生刻苦钻研专业技能，增强使命感和责任心，培养学生的正确劳动价值观和良好劳动品质，立志成为有理想、敢担当、能吃苦、肯奋斗的新时代好青年。同时，结合学校专业群建设需求，引入行业企业中的工匠人才和技术能手，将新方法、新技术、新工艺和新标准及时纳入教育教学实践，积极参与学校的专业建设和课程教学改革和名师带高徒的“师带徒”活动。</w:t>
      </w:r>
    </w:p>
    <w:p w14:paraId="0D1B3C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color w:val="auto"/>
          <w:sz w:val="32"/>
          <w:szCs w:val="32"/>
          <w:lang w:val="en-US" w:eastAsia="zh-CN"/>
        </w:rPr>
        <w:t>机电工程高级技工学校在课程实践中深入融入工匠精神，精铸工匠精神,实训室成为主要战场。汽车修理专业的学生精心修整车辆，从零件的精细打磨到整车的精确调试，严格遵循毫米级的误差标准；护理专业的学生在模拟病房中进行护理操作的练习，严格按照医疗操作规范执行每一个步骤，为未来的职业生涯提供专业性和安全性的保障。“大师进校园”活动定期开展，行业大师现场示范复杂工序，分享攻克难关经历，学生领悟匠心精髓，近年</w:t>
      </w:r>
      <w:r>
        <w:rPr>
          <w:rFonts w:hint="eastAsia" w:ascii="Times New Roman" w:hAnsi="Times New Roman" w:eastAsia="方正仿宋_GBK" w:cs="Times New Roman"/>
          <w:b w:val="0"/>
          <w:bCs w:val="0"/>
          <w:color w:val="auto"/>
          <w:sz w:val="32"/>
          <w:szCs w:val="32"/>
          <w:lang w:val="en-US" w:eastAsia="zh-CN"/>
        </w:rPr>
        <w:t>在各级技能赛里表现出突出。</w:t>
      </w:r>
    </w:p>
    <w:p w14:paraId="26F967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特教中心以培养新时代高素质中医康复技能人才为目标，深刻认识到工匠精神与学校职业教育培养目标的内在契合性。工匠精神所蕴含的专注执着、</w:t>
      </w:r>
      <w:r>
        <w:rPr>
          <w:rFonts w:hint="eastAsia" w:ascii="Times New Roman" w:hAnsi="Times New Roman" w:eastAsia="方正仿宋_GBK" w:cs="Times New Roman"/>
          <w:color w:val="auto"/>
          <w:sz w:val="32"/>
          <w:szCs w:val="32"/>
          <w:lang w:val="en-US" w:eastAsia="zh-CN"/>
        </w:rPr>
        <w:t>精益求精、敬业奉献与创新进取，是塑造学生职业素养与技能水平的核心要素。为传承工匠精神，在2023学年，学校职教部通过“行业能手进校园”活动、重庆市推拿按摩学会盲人推拿按摩专委会学术交流研讨会等活动，开展企业专家讲座等形式，让学生直观感受工匠品质。通过组织第四届人体体表标志触摸大赛、“扬帆筑梦 ‘职’面未来”第二届模拟求职招聘大赛等竞赛类活动，培养学生追求卓越的精神。建立校企合作双导师制，企业师傅在实践中言传身教，传递工匠精神。</w:t>
      </w:r>
    </w:p>
    <w:p w14:paraId="615DEE7F">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91" w:name="_Toc25940"/>
      <w:bookmarkStart w:id="292" w:name="_Toc27634"/>
      <w:bookmarkStart w:id="293" w:name="_Toc10271"/>
      <w:r>
        <w:rPr>
          <w:rFonts w:hint="eastAsia"/>
          <w:lang w:val="en-US" w:eastAsia="zh-CN"/>
        </w:rPr>
        <w:t>5.2传承红色文化</w:t>
      </w:r>
      <w:bookmarkEnd w:id="291"/>
      <w:bookmarkEnd w:id="292"/>
      <w:bookmarkEnd w:id="293"/>
    </w:p>
    <w:p w14:paraId="00C3F547">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南岸区依托半月谈党建融媒体龙职中学习站、重庆红岩联线这两大红色育人新阵地，定期带领优秀团员及青年学生前往VR党性教育学习体验区、党建文化墙、学习框及红色阅读亭，开展沉浸式主题活动。</w:t>
      </w:r>
    </w:p>
    <w:p w14:paraId="16CD8170">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月月组织团支部及萤之光志愿者团队前往红岩教育基地加足、加满红色能量。“四史”天天学周周讲、青年大学习人人学两大特色青年品牌，借助团课、团日活动、升旗台等，将红色故事讲得有宽度</w:t>
      </w:r>
      <w:r>
        <w:rPr>
          <w:rFonts w:hint="eastAsia" w:ascii="Times New Roman" w:hAnsi="Times New Roman" w:eastAsia="方正仿宋_GBK" w:cs="Times New Roman"/>
          <w:color w:val="auto"/>
          <w:sz w:val="32"/>
          <w:szCs w:val="32"/>
          <w:lang w:val="en-US" w:eastAsia="zh-CN"/>
        </w:rPr>
        <w:t>、有深度、有温度，擦亮红色育人新品牌。搭建全员、全过程、全方位红色育人新生态，抗美援朝志愿老兵、学校党员、团员及青年等人人都是红色基因赓续者、人人都是红色能量迸发者。半月谈、德育报等国家级主流媒体约稿刊登学校团委红色育人工作。我们搭乘革命青春班列而来，必将在新时代筑牢血液里永不褪色的红色赤诚。充分利用第二课堂平台和志愿汇APP，调动广大学生在环境保护、科普宣传、文明劝导、社区服务等领域深入开展志愿实践活动。动员学生大力开展党史学习、理论宣讲、乡村振兴社会实践活动。团员青年率先垂范，他们向社区报到、向青年之家报到。革和名师带高徒的“师带徒”活动。</w:t>
      </w:r>
    </w:p>
    <w:p w14:paraId="54575D9C">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在校园内外构建密集的红色教育网络，深耕红色文化，思政课程深入讲解红色经典，学生通过演绎红色情景剧，亲身体验先烈的热血情怀。在校园外，学生重访本地红色历史遗迹，祭扫烈士墓地，参观革命纪念馆，随后创作红色文化创意作品，例如以剪纸形式呈现的革命故事、木雕红军形象，使历史的静默变得生动。此外，还组建了红色宣讲团队，进入社区和中小学讲述红色故事，以此扩大红色教育的影响力。</w:t>
      </w:r>
    </w:p>
    <w:p w14:paraId="566E5976">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特教中心开展丰富多样的红色文化主题活动，如红色故事演讲比赛、红色文化主题班会等</w:t>
      </w:r>
      <w:r>
        <w:rPr>
          <w:rFonts w:hint="eastAsia" w:ascii="Times New Roman" w:hAnsi="Times New Roman" w:eastAsia="方正仿宋_GBK" w:cs="Times New Roman"/>
          <w:color w:val="auto"/>
          <w:sz w:val="32"/>
          <w:szCs w:val="32"/>
          <w:lang w:val="en-US" w:eastAsia="zh-CN"/>
        </w:rPr>
        <w:t>。依托学生处整合红色文化资源，带领部分职高团员参观重庆抗战遗址博物馆。</w:t>
      </w:r>
    </w:p>
    <w:p w14:paraId="4D448148">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94" w:name="_Toc14824"/>
      <w:bookmarkStart w:id="295" w:name="_Toc24195"/>
      <w:bookmarkStart w:id="296" w:name="_Toc1710"/>
      <w:bookmarkStart w:id="297" w:name="_Toc7405"/>
      <w:r>
        <w:rPr>
          <w:rFonts w:hint="eastAsia"/>
          <w:lang w:val="en-US" w:eastAsia="zh-CN"/>
        </w:rPr>
        <w:t>5.2.1深挖红色资源</w:t>
      </w:r>
      <w:bookmarkEnd w:id="294"/>
      <w:bookmarkEnd w:id="295"/>
      <w:bookmarkEnd w:id="296"/>
      <w:bookmarkEnd w:id="297"/>
    </w:p>
    <w:p w14:paraId="7AD4C37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将“红岩精神”融入日常教学与学生培养，积极与重庆红岩联线文化发展管理中心合作，通过多样化的教育活动和课程设计，传递革命传统教育和“红岩精神”的精髓。精心设计并开发一系列红色课程体系，编写反映“红岩精神”的读本，将其有机地融入职业教育的教学大纲之中，让学生了解历史，从先辈们的事迹中学到坚韧不拔、勇敢无畏的精神品质，激发对家乡文化的热爱，增强民族自豪感和社会责任感；同时，成立“红岩志愿服务团”，组织学生参与形式多样的红色主题教育活动，定期安排参观挺进报旧址、抗战遗址博物馆等具有重要历史意义的地点，使学生们在实地考察中亲身体验历史，让书本上的知识变得生动鲜活，使得“红岩精神”的传承更加直观有效。此外，鼓励学生在课余时间参与社区服务，通过实际行动弘扬“红岩精神”，清明节学生自发前往烈士陵园献花缅怀、节假日走进敬老院为老人提供帮助和服务，这些实践活动丰富学生的课外生活，让他们学会用自己的力量影响身边的人，成为传播正能量的使者。通过一系列丰富多彩的活动和扎实有效的措施，将“红岩精神”深深植入校园文化建设中，激励学生勇往直前，追求卓越。</w:t>
      </w:r>
    </w:p>
    <w:p w14:paraId="4C2ED752">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298" w:name="_Toc416"/>
      <w:bookmarkStart w:id="299" w:name="_Toc16401"/>
      <w:bookmarkStart w:id="300" w:name="_Toc21651"/>
      <w:r>
        <w:rPr>
          <w:rFonts w:hint="eastAsia"/>
          <w:lang w:val="en-US" w:eastAsia="zh-CN"/>
        </w:rPr>
        <w:t>5.2.2拓宽学习视野</w:t>
      </w:r>
      <w:bookmarkEnd w:id="298"/>
      <w:bookmarkEnd w:id="299"/>
      <w:bookmarkEnd w:id="300"/>
    </w:p>
    <w:p w14:paraId="1FDC09B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bookmarkStart w:id="301" w:name="_Toc3019"/>
      <w:r>
        <w:rPr>
          <w:rFonts w:hint="eastAsia" w:ascii="Times New Roman" w:hAnsi="Times New Roman" w:eastAsia="方正仿宋_GBK" w:cs="Times New Roman"/>
          <w:color w:val="auto"/>
          <w:sz w:val="32"/>
          <w:szCs w:val="32"/>
          <w:lang w:val="en-US" w:eastAsia="zh-CN"/>
        </w:rPr>
        <w:t>南岸区与新华社携手合作，成功建成西南地区首个“半月谈基层党建融媒体学习站”，开创了区域内的先河，为中职学校的教育和党建工作注入新的活力。通过整合媒体资源、拓展学习渠道，学习站成为了红色教育、廉政宣传和现代科技体验的综合平台。红色教育是学习站的核心内容之一。这里通过精心策划的主题展览和多媒体互动课程，学生们能够深入了解中国共产党领导下的革命历程和发展成就。这些教育资源不仅限于传统的文本资料，还包含了丰富的影像、音频等多媒体形式，使学生在沉浸式的学习环境中更深刻地理解党的历史和精神内涵。这种多维度的呈现方式为后续的学习活动奠定了坚实的基础。在此基础上，学习站设立了专门的廉政漫画展区，展出大量由专业艺术家创作的廉政主题漫画作品，以幽默风趣的方式传递正直廉洁的价值观。这种方式既贴近年轻人的兴趣点，又能在潜移默化中强化他们的道德观念和社会责任感，成为红色教育的有益补充。廉政漫画不仅是对历史教训的反思，也是对学生未来行为的一种指引，使他们能够在学习和生活中践行正确的价值观。国家级VR体验中心借助先进的虚拟现实技术，让学生身临其境地感受重大历史事件或重要决策过程，如红军长征、开国大典等场景。这种创新的学习方式打破了时间和空间的限制，让学生们更加直观地接触到原本只能在书本上读到的历史片段，极大地增强了学习的趣味性和实效性。VR体验不仅丰富了红色教育的内容，也提供了一种全新的视角来理解和感受历史。</w:t>
      </w:r>
    </w:p>
    <w:p w14:paraId="70C2A0EE">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02" w:name="_Toc15882"/>
      <w:bookmarkStart w:id="303" w:name="_Toc202"/>
      <w:bookmarkStart w:id="304" w:name="_Toc25825"/>
      <w:r>
        <w:rPr>
          <w:rFonts w:hint="eastAsia"/>
          <w:lang w:val="en-US" w:eastAsia="zh-CN"/>
        </w:rPr>
        <w:t>5.2.3丰富特色路径</w:t>
      </w:r>
      <w:bookmarkEnd w:id="301"/>
      <w:bookmarkEnd w:id="302"/>
      <w:bookmarkEnd w:id="303"/>
      <w:bookmarkEnd w:id="304"/>
    </w:p>
    <w:p w14:paraId="353F5D7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南岸区打造由青年党员、团员组成的“龙门红色讲堂”，前往红岩教育基地、区域城镇、乡村讲好红色故事、传承红色基因、发扬红色精神。</w:t>
      </w:r>
    </w:p>
    <w:p w14:paraId="274CC8F6">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05" w:name="_Toc32510"/>
      <w:bookmarkStart w:id="306" w:name="_Toc25061"/>
      <w:bookmarkStart w:id="307" w:name="_Toc32358"/>
      <w:bookmarkStart w:id="308" w:name="_Toc18049"/>
      <w:r>
        <w:rPr>
          <w:rFonts w:hint="eastAsia"/>
          <w:lang w:val="en-US" w:eastAsia="zh-CN"/>
        </w:rPr>
        <w:t>5.2.4探索“一讲二动三熏陶”的创新文化融入模式</w:t>
      </w:r>
      <w:bookmarkEnd w:id="305"/>
      <w:bookmarkEnd w:id="306"/>
      <w:bookmarkEnd w:id="307"/>
      <w:bookmarkEnd w:id="308"/>
    </w:p>
    <w:p w14:paraId="18D4082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利用讲座、活动、文化熏陶的形式保障红色文化主导学校校园文化；大力推进“统战知识进校园”的各项工作，推进统战知识与教育教学有机融合；将铸牢中华民族共同体意识教育融入办学治校各领域、教育教学全过程，构建全员、全过程、全方位育人大格局。</w:t>
      </w:r>
    </w:p>
    <w:p w14:paraId="4D026B74">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09" w:name="_Toc9730"/>
      <w:bookmarkStart w:id="310" w:name="_Toc26604"/>
      <w:bookmarkStart w:id="311" w:name="_Toc3120"/>
      <w:r>
        <w:rPr>
          <w:rFonts w:hint="eastAsia"/>
          <w:lang w:val="en-US" w:eastAsia="zh-CN"/>
        </w:rPr>
        <w:t>5.3传承中华优秀传统文化</w:t>
      </w:r>
      <w:bookmarkEnd w:id="309"/>
      <w:bookmarkEnd w:id="310"/>
      <w:bookmarkEnd w:id="311"/>
    </w:p>
    <w:p w14:paraId="5144C6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龙门浩职业中学校建成南山陶艺工作室非遗传承基地，传承弘扬重庆市南山陶非遗文化，通</w:t>
      </w:r>
      <w:r>
        <w:rPr>
          <w:rFonts w:hint="eastAsia" w:ascii="Times New Roman" w:hAnsi="Times New Roman" w:eastAsia="方正仿宋_GBK" w:cs="Times New Roman"/>
          <w:color w:val="auto"/>
          <w:sz w:val="32"/>
          <w:szCs w:val="32"/>
          <w:lang w:val="en-US" w:eastAsia="zh-CN"/>
        </w:rPr>
        <w:t>过学生社团活动开展非遗技艺传授活动，培养学生匠心、精工、品行和创新精神。工作室开展了陶艺讲述红色故事、儿童节陶艺体验、陶艺作品展等活动；目前陶艺社团每年培训学生200人以上。坚持师徒结对培养模式，选拔部分学员，由师傅一对一进行授课传艺，该方法在学生培养中发挥了重要作用，现已有58人次在市区级各种比赛中获奖。服务博物馆、社区等12个，621人次。</w:t>
      </w:r>
    </w:p>
    <w:p w14:paraId="11425B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机电工程高级技工学校将传统文化教育融入日常学习生活中，弘扬中华优秀传统文化，开设了书法、象棋等社团，让学生在学习专业技能的同时，也能深入了解和传承中华优秀传统文化。此外，学校还通过开展各类文化活动，如文艺汇演、传统节日庆祝等，让学生在参与中感受传统文化的魅力。</w:t>
      </w:r>
    </w:p>
    <w:p w14:paraId="268374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特殊教育中心将</w:t>
      </w:r>
      <w:r>
        <w:rPr>
          <w:rFonts w:hint="eastAsia" w:ascii="Times New Roman" w:hAnsi="Times New Roman" w:eastAsia="方正仿宋_GBK" w:cs="Times New Roman"/>
          <w:color w:val="auto"/>
          <w:sz w:val="32"/>
          <w:szCs w:val="32"/>
          <w:lang w:val="en-US" w:eastAsia="zh-CN"/>
        </w:rPr>
        <w:t>传统文化教育融入课程体系，开设武术与练功、燕青门正骨等选修课程，每周授课2课时，让学生学习太极和燕青门正骨疗法。同时，开展端午、中秋、春节等传统文化系列主题班会，带领学生体验传统文化魅力。</w:t>
      </w:r>
    </w:p>
    <w:p w14:paraId="74A2D837">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12" w:name="_Toc6494"/>
      <w:bookmarkStart w:id="313" w:name="_Toc13257"/>
      <w:bookmarkStart w:id="314" w:name="_Toc24381"/>
      <w:r>
        <w:rPr>
          <w:rFonts w:hint="eastAsia"/>
          <w:lang w:val="en-US" w:eastAsia="zh-CN"/>
        </w:rPr>
        <w:t>5.4传承地方或校园特色文化</w:t>
      </w:r>
      <w:bookmarkEnd w:id="312"/>
      <w:bookmarkEnd w:id="313"/>
      <w:bookmarkEnd w:id="314"/>
    </w:p>
    <w:p w14:paraId="406E134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承载着深厚而多元的历史文化资源。禹涂文化源远流长，见证着古老的智慧与传承；宗教文化庄重肃穆，蕴含着丰富的精神内涵；开埠文化独具特色，诉说着过去的辉煌与变迁；抗战文化激昂壮烈，铭刻着民族的坚韧与不屈。南岸区积极传承地方和校园特色文化，践行新面貌、新担当、新作为的三新精神，倡导热爱学校、热爱班级、热爱专业的三热爱，注重社团活动的多样性和专业性，为学生提供广阔的发展空间。指导学校将地方文化与课程教学紧密结合，实现了文化教育的全方位渗透，积极组织文化体验活动，让学生在实践中感受文化的魅力，增强文化传承的实效性。指导学校积极开设多样的社团活动，为学生搭建起感受文化力量的平台。在社团活动中，学生们能够亲身参与、亲身体验，从而培养对传统文化的认同感和归属感。将地方文化巧妙地融入课程教学中，实现了文化与教育的深度融合，通过实地考察、实验探究等方式，让学生了解南岸区的水资源状况，感受水资源保护的重要性，同时也将禹涂文化中对自然的敬畏与尊重融入其中，培养学生的环保意识和责任感；组织学生参观历史文化遗产，道教文化代表老君洞、传统的民居老街等，让学生近距离感受历史的沧桑与厚重；参与传统节日庆典，如春节、端午节等，让学生体验传统节日的独特魅力和丰富内涵。通过参与社团活动，自身的文化素养得到极大提升。他们学会欣赏传统文化的美，懂得尊重历史和传承文化的重要性。同时，学生们对地方文化的认同感也日益增强，他们以身为南岸区的一员而自豪，积极为地方文化的传承与发展贡献自己的力量。</w:t>
      </w:r>
    </w:p>
    <w:p w14:paraId="4F5F4866">
      <w:pPr>
        <w:pStyle w:val="2"/>
        <w:keepNext w:val="0"/>
        <w:keepLines w:val="0"/>
        <w:pageBreakBefore w:val="0"/>
        <w:widowControl w:val="0"/>
        <w:kinsoku/>
        <w:wordWrap/>
        <w:overflowPunct/>
        <w:topLinePunct w:val="0"/>
        <w:autoSpaceDE/>
        <w:autoSpaceDN/>
        <w:bidi w:val="0"/>
        <w:spacing w:line="600" w:lineRule="exact"/>
        <w:textAlignment w:val="auto"/>
      </w:pPr>
      <w:bookmarkStart w:id="315" w:name="_Toc652"/>
      <w:bookmarkStart w:id="316" w:name="_Toc27816"/>
      <w:bookmarkStart w:id="317" w:name="_Toc21738"/>
      <w:bookmarkStart w:id="318" w:name="_Toc28490"/>
      <w:bookmarkStart w:id="319" w:name="_Toc11062"/>
      <w:r>
        <w:rPr>
          <w:rFonts w:hint="eastAsia"/>
          <w:lang w:val="en-US" w:eastAsia="zh-CN"/>
        </w:rPr>
        <w:t>6</w:t>
      </w:r>
      <w:r>
        <w:t>.国际合作</w:t>
      </w:r>
      <w:bookmarkEnd w:id="315"/>
      <w:bookmarkEnd w:id="316"/>
      <w:bookmarkEnd w:id="317"/>
      <w:bookmarkEnd w:id="318"/>
      <w:bookmarkEnd w:id="319"/>
    </w:p>
    <w:p w14:paraId="5E22E890">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以习近平新时代中国特色社会主义思想为指导，深入贯彻习近平总书记关于教育高质量发展系列重要讲话精神，坚持“四个全面”战略布局，全面贯彻党的教育方针，落实立德树人根本任务，坚持服务党和国家工作大局为宗旨，秉承“书香南岸幸福教育”区域教育愿景，聚焦国际理解教育，开展中外人文交流活动，推动集团和学校教育高质量发展。</w:t>
      </w:r>
    </w:p>
    <w:p w14:paraId="5D5F7FDD">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龙门浩职业中学校一个中外课程共建共享项目正在建设中，教育部中外人文交流中心将南岸区设立为实验区后，龙门浩职业中学校积极申报，成为了15个特色学校之一，并立项“中外课程共建共享项目”，此项目建设期为2023年5月至2025年12月。自2023年5月立项建设以来，学校拟定了《中外人文交流特色学校建设计划项目实施方案》，开展了调研、交流等工作，目前将南非的艾库鲁莱尼工匠和技能培训学院作为学校的外方共建校，后续将合作开展中外课程共建共享项目。</w:t>
      </w:r>
    </w:p>
    <w:p w14:paraId="48D6C963">
      <w:pPr>
        <w:pStyle w:val="3"/>
        <w:keepNext w:val="0"/>
        <w:keepLines w:val="0"/>
        <w:pageBreakBefore w:val="0"/>
        <w:widowControl w:val="0"/>
        <w:kinsoku/>
        <w:wordWrap/>
        <w:overflowPunct/>
        <w:topLinePunct w:val="0"/>
        <w:autoSpaceDE/>
        <w:autoSpaceDN/>
        <w:bidi w:val="0"/>
        <w:spacing w:line="600" w:lineRule="exact"/>
        <w:textAlignment w:val="auto"/>
        <w:rPr>
          <w:rFonts w:hint="eastAsia"/>
        </w:rPr>
      </w:pPr>
      <w:bookmarkStart w:id="320" w:name="_Toc25139"/>
      <w:bookmarkStart w:id="321" w:name="_Toc19977"/>
      <w:bookmarkStart w:id="322" w:name="_Toc25947"/>
      <w:r>
        <w:rPr>
          <w:rFonts w:hint="eastAsia"/>
          <w:lang w:val="en-US" w:eastAsia="zh-CN"/>
        </w:rPr>
        <w:t>6</w:t>
      </w:r>
      <w:r>
        <w:rPr>
          <w:rFonts w:hint="eastAsia"/>
        </w:rPr>
        <w:t>.1留学生培养质量</w:t>
      </w:r>
      <w:bookmarkEnd w:id="320"/>
      <w:bookmarkEnd w:id="321"/>
      <w:bookmarkEnd w:id="322"/>
    </w:p>
    <w:p w14:paraId="1CEA50F4">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南岸区中职学校无留学生。</w:t>
      </w:r>
    </w:p>
    <w:p w14:paraId="4531F945">
      <w:pPr>
        <w:pStyle w:val="3"/>
        <w:keepNext w:val="0"/>
        <w:keepLines w:val="0"/>
        <w:pageBreakBefore w:val="0"/>
        <w:widowControl w:val="0"/>
        <w:kinsoku/>
        <w:wordWrap/>
        <w:overflowPunct/>
        <w:topLinePunct w:val="0"/>
        <w:autoSpaceDE/>
        <w:autoSpaceDN/>
        <w:bidi w:val="0"/>
        <w:spacing w:line="600" w:lineRule="exact"/>
        <w:textAlignment w:val="auto"/>
        <w:rPr>
          <w:rFonts w:hint="eastAsia"/>
        </w:rPr>
      </w:pPr>
      <w:bookmarkStart w:id="323" w:name="_Toc28063"/>
      <w:bookmarkStart w:id="324" w:name="_Toc6087"/>
      <w:bookmarkStart w:id="325" w:name="_Toc29560"/>
      <w:r>
        <w:rPr>
          <w:rFonts w:hint="eastAsia"/>
          <w:lang w:val="en-US" w:eastAsia="zh-CN"/>
        </w:rPr>
        <w:t>6</w:t>
      </w:r>
      <w:r>
        <w:rPr>
          <w:rFonts w:hint="eastAsia"/>
        </w:rPr>
        <w:t>.2合作办学质量</w:t>
      </w:r>
      <w:bookmarkEnd w:id="323"/>
      <w:bookmarkEnd w:id="324"/>
      <w:bookmarkEnd w:id="325"/>
    </w:p>
    <w:p w14:paraId="1EB9DD89">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职业教育集团和重庆市龙门浩职业中学校将用三年时间持续深化国际理解教育，培养学生发展核心素养和人文素养新赛道，夯实国际理解教育支撑高质量教育体系的新基础。2024年，南岸区职业教育集团制定聚焦国际理解教育推进南岸职教集团中外人文交流发展三年工作方案，梳理2024-2025年重点任务清单。</w:t>
      </w:r>
    </w:p>
    <w:p w14:paraId="0CB8075B">
      <w:pPr>
        <w:pStyle w:val="3"/>
        <w:keepNext w:val="0"/>
        <w:keepLines w:val="0"/>
        <w:pageBreakBefore w:val="0"/>
        <w:widowControl w:val="0"/>
        <w:kinsoku/>
        <w:wordWrap/>
        <w:overflowPunct/>
        <w:topLinePunct w:val="0"/>
        <w:autoSpaceDE/>
        <w:autoSpaceDN/>
        <w:bidi w:val="0"/>
        <w:spacing w:line="600" w:lineRule="exact"/>
        <w:textAlignment w:val="auto"/>
        <w:rPr>
          <w:rFonts w:hint="eastAsia"/>
        </w:rPr>
      </w:pPr>
      <w:bookmarkStart w:id="326" w:name="_Toc4250"/>
      <w:bookmarkStart w:id="327" w:name="_Toc12463"/>
      <w:bookmarkStart w:id="328" w:name="_Toc24994"/>
      <w:r>
        <w:rPr>
          <w:rFonts w:hint="eastAsia"/>
          <w:lang w:val="en-US" w:eastAsia="zh-CN"/>
        </w:rPr>
        <w:t>6</w:t>
      </w:r>
      <w:r>
        <w:rPr>
          <w:rFonts w:hint="eastAsia"/>
        </w:rPr>
        <w:t>.3开发标准质量</w:t>
      </w:r>
      <w:bookmarkEnd w:id="326"/>
      <w:bookmarkEnd w:id="327"/>
      <w:bookmarkEnd w:id="328"/>
    </w:p>
    <w:p w14:paraId="6E3809C6">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sz w:val="32"/>
          <w:szCs w:val="32"/>
        </w:rPr>
      </w:pPr>
      <w:r>
        <w:rPr>
          <w:rFonts w:hint="eastAsia" w:ascii="Times New Roman" w:hAnsi="Times New Roman" w:eastAsia="方正仿宋_GBK" w:cs="Times New Roman"/>
          <w:color w:val="auto"/>
          <w:sz w:val="32"/>
          <w:szCs w:val="32"/>
          <w:lang w:val="en-US" w:eastAsia="zh-CN"/>
        </w:rPr>
        <w:t>在全球化背景下，技能发展与技术创新已成为推动经济社会发展的重要力量。南岸区龙门浩职业中学校积极响应国家“一带一路”倡议，于2023年被批准为“一带一路暨金砖国家技能发展国际联盟大数据和人工智能专业委员会”副主任委员单位，2024年作为金砖国家团体标准“数据分析与可视化赛项”起草工作组技能标准主编单位，联合国内外多所院校及企业，共同推进金砖国家职业技能大赛数据分析与可视化团体标准的开发工作。</w:t>
      </w:r>
    </w:p>
    <w:p w14:paraId="2EE78E56">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29" w:name="_Toc4564"/>
      <w:bookmarkStart w:id="330" w:name="_Toc3187"/>
      <w:bookmarkStart w:id="331" w:name="_Toc21486"/>
      <w:r>
        <w:rPr>
          <w:rFonts w:hint="eastAsia"/>
          <w:lang w:val="en-US" w:eastAsia="zh-CN"/>
        </w:rPr>
        <w:t>6</w:t>
      </w:r>
      <w:r>
        <w:rPr>
          <w:rFonts w:hint="eastAsia"/>
        </w:rPr>
        <w:t>.</w:t>
      </w:r>
      <w:r>
        <w:rPr>
          <w:rFonts w:hint="eastAsia"/>
          <w:lang w:val="en-US" w:eastAsia="zh-CN"/>
        </w:rPr>
        <w:t>4国际交流</w:t>
      </w:r>
      <w:bookmarkEnd w:id="329"/>
      <w:bookmarkEnd w:id="330"/>
      <w:bookmarkEnd w:id="331"/>
    </w:p>
    <w:p w14:paraId="527B907F">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32" w:name="_Toc23133"/>
      <w:bookmarkStart w:id="333" w:name="_Toc12473"/>
      <w:bookmarkStart w:id="334" w:name="_Toc30138"/>
      <w:r>
        <w:rPr>
          <w:rFonts w:hint="eastAsia"/>
          <w:lang w:val="en-US" w:eastAsia="zh-CN"/>
        </w:rPr>
        <w:t>6.4.1国际大赛，频获佳绩</w:t>
      </w:r>
      <w:bookmarkEnd w:id="332"/>
      <w:bookmarkEnd w:id="333"/>
      <w:bookmarkEnd w:id="334"/>
    </w:p>
    <w:p w14:paraId="397F5FA2">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指导学校积极参加国际交流和比赛，龙门浩职业中学校何珊老师指导学生在2021年一带一路暨金砖国家技能发展与技术创新大赛——数据分析与可视化赛项（中职组）中获团体二等奖。刘东霖、曾长春老师指导学生在2023年一带一路暨金砖国家技能发展与技术创新大赛——云计算技术服务（运维方向）赛项获团队一等奖。重庆市龙门浩职业中学校在此项组织工作中获最佳组织奖。2023年龙门浩职业中学校为一带一路暨金砖国家技能发展国际联盟大数据和人工智能专业委员会副主任委员单位，2023年龙门浩职业中学校被批准为一带一路暨金砖国家技能发展国际联盟大数据和人工智能专业委员会副主任委员单位，2024年龙门浩职业中学校成为金砖国家团体标准“数据分析与可视化赛项”技能标准主编单位，钟勤老师为主编成员，2024年龙门浩职业中学校作为金砖国家团体标准“数据分析与可视化赛项”起草工作组技能标准主编单位，联合全国73所院校，南非3所院校，俄罗斯1所院校，国内知名大数据企业，在一带一路暨金砖国家技能发展国际联盟、金砖国家工商理事会（中方）技能发展工作组和金砖技能标准化工作委员会的指导下，启动了金砖国家职业技能大赛数据分析与可视化团体标准的开发工作。金砖数据分析与可视化大赛已连续举办4届，吸引了来自俄罗斯、南非、巴西、印度、柬埔寨、马来西亚、巴基斯坦等金砖及一带一路沿线国家外籍学生参赛，相关技能标准、竞赛标准、课程标准在竞赛和大赛国际训练营中连续4年得到应用。同时，龙门浩职业中学校参加一带一路暨金砖技能发展与技术创新大赛，学生获二等奖一次，一等奖一次，学校获最佳组织奖。</w:t>
      </w:r>
    </w:p>
    <w:p w14:paraId="6459527E">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35" w:name="_Toc7357"/>
      <w:bookmarkStart w:id="336" w:name="_Toc32503"/>
      <w:bookmarkStart w:id="337" w:name="_Toc21880"/>
      <w:r>
        <w:rPr>
          <w:rFonts w:hint="eastAsia"/>
          <w:lang w:val="en-US" w:eastAsia="zh-CN"/>
        </w:rPr>
        <w:t>6.4.2示范课程，效果优异</w:t>
      </w:r>
      <w:bookmarkEnd w:id="335"/>
      <w:bookmarkEnd w:id="336"/>
      <w:bookmarkEnd w:id="337"/>
    </w:p>
    <w:p w14:paraId="6EDA78CC">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深入贯彻落实《教育部等八部门关于加快和扩大新时代教育对外开放意见》精神，全面推进全国中外人文交流教育实验区建设，进一步转化中外人文交流教育实验区暨成渝双城经济圈教育联盟2023年管理干部及骨干教师能力提升培训成果，加快实验区国际理解教育课程建设，提升区域教育发展品质，在2023年南岸区国际理解教育教学研讨会中，龙门浩职业中学校卢蕾老师所授区级示范课《龙与dragon》展示效果良好，在南岸区中小学国际理解教育课堂教学设计比赛中荣获中学组一等奖。南岸区切实加强国际理解教育的学习研究，拓展教育国际视野，持续更新教育理念，创新课堂教学方法，为培养学生跨文化理解交流能力、拓展学生国际视野，探索形成更多可操作、可推广的南岸经验，丰富和拓展“书香南岸幸福教育”内涵，扩大南岸教育的影响力和美誉度。</w:t>
      </w:r>
    </w:p>
    <w:p w14:paraId="71A2C780">
      <w:pPr>
        <w:pStyle w:val="3"/>
        <w:keepNext w:val="0"/>
        <w:keepLines w:val="0"/>
        <w:pageBreakBefore w:val="0"/>
        <w:widowControl w:val="0"/>
        <w:kinsoku/>
        <w:wordWrap/>
        <w:overflowPunct/>
        <w:topLinePunct w:val="0"/>
        <w:autoSpaceDE/>
        <w:autoSpaceDN/>
        <w:bidi w:val="0"/>
        <w:spacing w:line="600" w:lineRule="exact"/>
        <w:textAlignment w:val="auto"/>
        <w:rPr>
          <w:rFonts w:hint="eastAsia"/>
        </w:rPr>
      </w:pPr>
      <w:bookmarkStart w:id="338" w:name="_Toc19385"/>
      <w:bookmarkStart w:id="339" w:name="_Toc9124"/>
      <w:bookmarkStart w:id="340" w:name="_Toc26504"/>
      <w:r>
        <w:rPr>
          <w:rFonts w:hint="eastAsia"/>
          <w:lang w:val="en-US" w:eastAsia="zh-CN"/>
        </w:rPr>
        <w:t>6.5</w:t>
      </w:r>
      <w:r>
        <w:rPr>
          <w:rFonts w:hint="eastAsia"/>
        </w:rPr>
        <w:t>国（境）外独立办学质量</w:t>
      </w:r>
      <w:bookmarkEnd w:id="338"/>
      <w:bookmarkEnd w:id="339"/>
      <w:bookmarkEnd w:id="340"/>
    </w:p>
    <w:p w14:paraId="4087761D">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南岸区中职学校无国（境）外独立办学。</w:t>
      </w:r>
    </w:p>
    <w:p w14:paraId="349863B3">
      <w:pPr>
        <w:pStyle w:val="2"/>
        <w:keepNext w:val="0"/>
        <w:keepLines w:val="0"/>
        <w:pageBreakBefore w:val="0"/>
        <w:widowControl w:val="0"/>
        <w:numPr>
          <w:ilvl w:val="0"/>
          <w:numId w:val="0"/>
        </w:numPr>
        <w:kinsoku/>
        <w:wordWrap/>
        <w:overflowPunct/>
        <w:topLinePunct w:val="0"/>
        <w:autoSpaceDE/>
        <w:autoSpaceDN/>
        <w:bidi w:val="0"/>
        <w:spacing w:before="0" w:after="0" w:line="600" w:lineRule="exact"/>
        <w:ind w:left="432" w:hanging="432"/>
        <w:textAlignment w:val="auto"/>
        <w:rPr>
          <w:rFonts w:ascii="Times New Roman" w:hAnsi="Times New Roman" w:eastAsia="方正黑体_GBK" w:cs="Times New Roman"/>
          <w:b w:val="0"/>
          <w:bCs/>
          <w:sz w:val="32"/>
          <w:szCs w:val="20"/>
        </w:rPr>
      </w:pPr>
      <w:bookmarkStart w:id="341" w:name="_Toc2978"/>
      <w:bookmarkStart w:id="342" w:name="_Toc5853"/>
      <w:bookmarkStart w:id="343" w:name="_Toc11552"/>
      <w:bookmarkStart w:id="344" w:name="_Toc23391"/>
      <w:bookmarkStart w:id="345" w:name="_Toc12755"/>
      <w:r>
        <w:rPr>
          <w:rFonts w:ascii="Times New Roman" w:hAnsi="Times New Roman" w:eastAsia="方正黑体_GBK" w:cs="Times New Roman"/>
          <w:b w:val="0"/>
          <w:bCs/>
          <w:sz w:val="32"/>
          <w:szCs w:val="20"/>
        </w:rPr>
        <w:t>7.发展保障</w:t>
      </w:r>
      <w:bookmarkEnd w:id="341"/>
      <w:bookmarkEnd w:id="342"/>
      <w:bookmarkEnd w:id="343"/>
      <w:bookmarkEnd w:id="344"/>
      <w:bookmarkEnd w:id="345"/>
    </w:p>
    <w:p w14:paraId="5F79FA54">
      <w:pPr>
        <w:pStyle w:val="3"/>
        <w:keepNext w:val="0"/>
        <w:keepLines w:val="0"/>
        <w:pageBreakBefore w:val="0"/>
        <w:widowControl w:val="0"/>
        <w:kinsoku/>
        <w:wordWrap/>
        <w:overflowPunct/>
        <w:topLinePunct w:val="0"/>
        <w:autoSpaceDE/>
        <w:autoSpaceDN/>
        <w:bidi w:val="0"/>
        <w:spacing w:line="600" w:lineRule="exact"/>
        <w:textAlignment w:val="auto"/>
        <w:rPr>
          <w:rFonts w:hint="eastAsia"/>
        </w:rPr>
      </w:pPr>
      <w:bookmarkStart w:id="346" w:name="_Toc15705"/>
      <w:bookmarkStart w:id="347" w:name="_Toc16633"/>
      <w:bookmarkStart w:id="348" w:name="_Toc29223"/>
      <w:r>
        <w:rPr>
          <w:rFonts w:hint="eastAsia"/>
        </w:rPr>
        <w:t>7.1党建引领</w:t>
      </w:r>
      <w:bookmarkEnd w:id="346"/>
      <w:bookmarkEnd w:id="347"/>
      <w:bookmarkEnd w:id="348"/>
    </w:p>
    <w:p w14:paraId="51870988">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南岸区</w:t>
      </w:r>
      <w:r>
        <w:rPr>
          <w:rFonts w:hint="eastAsia" w:ascii="Times New Roman" w:hAnsi="Times New Roman" w:eastAsia="方正仿宋_GBK" w:cs="Times New Roman"/>
          <w:color w:val="auto"/>
          <w:sz w:val="32"/>
          <w:szCs w:val="32"/>
        </w:rPr>
        <w:t>全面贯彻</w:t>
      </w:r>
      <w:r>
        <w:rPr>
          <w:rFonts w:hint="eastAsia" w:ascii="Times New Roman" w:hAnsi="Times New Roman" w:eastAsia="方正仿宋_GBK" w:cs="Times New Roman"/>
          <w:color w:val="auto"/>
          <w:sz w:val="32"/>
          <w:szCs w:val="32"/>
          <w:lang w:val="en-US" w:eastAsia="zh-CN"/>
        </w:rPr>
        <w:t>落实</w:t>
      </w:r>
      <w:r>
        <w:rPr>
          <w:rFonts w:hint="eastAsia" w:ascii="Times New Roman" w:hAnsi="Times New Roman" w:eastAsia="方正仿宋_GBK" w:cs="Times New Roman"/>
          <w:color w:val="auto"/>
          <w:sz w:val="32"/>
          <w:szCs w:val="32"/>
        </w:rPr>
        <w:t>习近平新时代中国特色社会主义思想，以党建引领辖区中职学校全面发展。坚持中国共产党的领导，把党的领导转化为具体制度。公办职业学校实行中国共产党职业学校基层组织领导的校长负责制，职业学校基层党组织按照党章和有关规定，全面领导学校工作。民办职业学校依法健全决策机制，强化学校基层党组织政治功能，保证其在学校重大事项决策、监督、</w:t>
      </w:r>
      <w:r>
        <w:rPr>
          <w:rFonts w:hint="eastAsia" w:ascii="Times New Roman" w:hAnsi="Times New Roman" w:eastAsia="方正仿宋_GBK" w:cs="Times New Roman"/>
          <w:color w:val="auto"/>
          <w:sz w:val="32"/>
          <w:szCs w:val="32"/>
          <w:lang w:val="en-US" w:eastAsia="zh-CN"/>
        </w:rPr>
        <w:t>执行各环节有效发挥作用。</w:t>
      </w:r>
    </w:p>
    <w:p w14:paraId="6A2A8608">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龙门浩职业中学校聚焦“围绕中心、建设队伍、服务师生”三项核心任务，进一步推进“政治型、学习型、效能型、创新型、服务型”的党组织建设，运用“干部轮岗”“双向培养”“党员示范岗”等措施推动组织建设、队伍融入，强化群团工作引领力度，大力推动党建带团建，充分发挥民主党派建言献策作用，实现党建引领职业学校全面发展。扎实开展党纪学习教育，贯彻落实党的二十大和二十届三中全会精神，全面推进“以案促改、以案促治”、软弱涣散党组织等专项整治工作，开展线上线下廉洁提醒及谈话，广辟问题线索收集渠道，开通廉政账户，全面落实党风廉政建设责任制，推进党建工作再上新台阶。</w:t>
      </w:r>
    </w:p>
    <w:p w14:paraId="358F1D85">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机电工程高级技工学校通过“党建+校园文化”的模式，激发校园党建工作的新活力。打造具有特色的“党建文化长廊”，以“党建引领 红心向党”的党建品牌为核心，充分利用党建文化办公室的资源，发挥党建文化在校园文化建设中的引领作用。同时，将革命传统教育、社会主义核心价值观和中华优秀传统文化教育融入各学科教学，营造浓厚的文化氛围，增长师生知识，凝聚集体力量，引导学生感受党的恩情，听从党的教诲，跟随党的步伐，努力培养德智体美劳全面发展的社会主义建设者和接班人；以“党建+师德师风”为引领，共同营造风清气正的教育环境。学校在党建工作的引领下，注重师德师风建设，致力于打造一支师德高尚、业务精湛、爱岗敬业的教师队伍。通过深入开展党员亮身份、亮承诺、比奉献的“双亮一比”活动，党员在日常工作中佩戴党员徽章，进一步增强党员责任意识，亮出党员身份，在各项优质课、赛教课、展示课中发挥引领作用，努力争创先锋岗位。此外，学校还通过师德论坛、研讨交流、实践反思、案例分析等形式，促进师德师风建设和党建工作的高度融合。定期组织开展教师师德培训，组织签订师德承诺书，常态化开展师德考核，不断提高全体教师思想素质和业务素质；“党建+德育活动”，构建全员育人新格局。学校以丰富活动为载体，围绕立德树人根本任务，将党建和德育融合起来，积极创设良好育人氛围，以班级主题教育实践活动为依托，通过举办报告会、座谈会、演讲、征文比赛等多种形式，深入开展革命传统教育、爱国主义进校园活动，围绕社会主义核心价值观，引导学生增强热爱党、热爱祖国、热爱人民的情怀，帮助学生树立正确的世界观、人生观和价值观。</w:t>
      </w:r>
    </w:p>
    <w:p w14:paraId="0FDD59F4">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特教中心积极宣传贯彻习近平新时代中国特色社会主义思想，将其纳入师生思想政治教育核心内容。深入贯彻落实党的二十大和二十届三中全会精神，通过专题讲座、主题班会、党团组织生活会等形式，组织全校师生深入学习研讨，确保会议精神入脑入心。扎实开展主题教育活动，如“不忘初心、牢记使命”主题教育、党史学习教育、阅读党刊党报等，引导师生坚定理想信念，增强党性修养。加强党纪学习教育，定期组织党员教师学习党纪国法，强化廉洁自律意识，营造风清气正的校园政治生态。</w:t>
      </w:r>
    </w:p>
    <w:p w14:paraId="0080C355">
      <w:pPr>
        <w:pStyle w:val="18"/>
        <w:keepNext w:val="0"/>
        <w:keepLines w:val="0"/>
        <w:pageBreakBefore w:val="0"/>
        <w:widowControl w:val="0"/>
        <w:kinsoku/>
        <w:wordWrap/>
        <w:overflowPunct/>
        <w:topLinePunct w:val="0"/>
        <w:autoSpaceDE/>
        <w:autoSpaceDN/>
        <w:bidi w:val="0"/>
        <w:spacing w:line="600" w:lineRule="exact"/>
        <w:ind w:firstLine="640" w:firstLineChars="200"/>
        <w:jc w:val="both"/>
        <w:textAlignment w:val="auto"/>
        <w:rPr>
          <w:rFonts w:hint="eastAsia" w:eastAsia="方正楷体_GBK" w:asciiTheme="minorAscii" w:hAnsiTheme="minorAscii" w:cstheme="minorBidi"/>
          <w:kern w:val="2"/>
          <w:sz w:val="32"/>
          <w:szCs w:val="24"/>
          <w:lang w:val="en-US" w:eastAsia="zh-CN" w:bidi="ar-SA"/>
        </w:rPr>
      </w:pPr>
      <w:bookmarkStart w:id="349" w:name="_Toc1022"/>
      <w:bookmarkStart w:id="350" w:name="_Toc32110"/>
      <w:bookmarkStart w:id="351" w:name="_Toc20289"/>
      <w:bookmarkStart w:id="352" w:name="_Toc9501"/>
      <w:bookmarkStart w:id="353" w:name="_Toc30042"/>
      <w:r>
        <w:rPr>
          <w:rFonts w:hint="eastAsia" w:eastAsia="方正楷体_GBK" w:asciiTheme="minorAscii" w:hAnsiTheme="minorAscii" w:cstheme="minorBidi"/>
          <w:kern w:val="2"/>
          <w:sz w:val="32"/>
          <w:szCs w:val="24"/>
          <w:lang w:val="en-US" w:eastAsia="zh-CN" w:bidi="ar-SA"/>
        </w:rPr>
        <w:t>7.2政策落实</w:t>
      </w:r>
      <w:bookmarkEnd w:id="349"/>
      <w:bookmarkEnd w:id="350"/>
      <w:bookmarkEnd w:id="351"/>
      <w:bookmarkEnd w:id="352"/>
      <w:bookmarkEnd w:id="353"/>
      <w:bookmarkStart w:id="354" w:name="_Toc27832"/>
      <w:bookmarkStart w:id="355" w:name="_Toc28174"/>
      <w:bookmarkStart w:id="356" w:name="_Toc22708"/>
    </w:p>
    <w:p w14:paraId="01C47EC2">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color w:val="auto"/>
          <w:sz w:val="32"/>
          <w:szCs w:val="32"/>
          <w:lang w:val="en-US" w:eastAsia="zh-CN"/>
        </w:rPr>
      </w:pPr>
      <w:bookmarkStart w:id="357" w:name="_Toc4567"/>
      <w:r>
        <w:rPr>
          <w:rFonts w:hint="eastAsia" w:ascii="Times New Roman" w:hAnsi="Times New Roman" w:eastAsia="方正仿宋_GBK" w:cs="Times New Roman"/>
          <w:color w:val="auto"/>
          <w:sz w:val="32"/>
          <w:szCs w:val="32"/>
          <w:lang w:val="en-US" w:eastAsia="zh-CN"/>
        </w:rPr>
        <w:t>南岸区</w:t>
      </w:r>
      <w:r>
        <w:rPr>
          <w:rFonts w:hint="eastAsia" w:ascii="Times New Roman" w:hAnsi="Times New Roman" w:eastAsia="方正仿宋_GBK" w:cs="Times New Roman"/>
          <w:color w:val="auto"/>
          <w:sz w:val="32"/>
          <w:szCs w:val="32"/>
        </w:rPr>
        <w:t>深入贯彻习近平总书记关于职业教育的重要指示批示和全国职业教育大会精神，落实《关于推动现代职业教育高质量发展的意见》《国家职业教育改革实施方案》</w:t>
      </w:r>
      <w:bookmarkEnd w:id="357"/>
      <w:r>
        <w:rPr>
          <w:rFonts w:hint="eastAsia" w:ascii="Times New Roman" w:hAnsi="Times New Roman" w:eastAsia="方正仿宋_GBK" w:cs="Times New Roman"/>
          <w:color w:val="auto"/>
          <w:sz w:val="32"/>
          <w:szCs w:val="32"/>
        </w:rPr>
        <w:t>《关于大力发展职业教育的决定》《关于深入推进职业教育集团化办学的意见》《重庆市推动现代职业教育高质量发展若干措施》</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中共重庆市南岸区委办公室、重庆市南岸区人民政府办公室印发《关于推进新时代南岸教育事业高质量发展的实施意见》</w:t>
      </w:r>
      <w:r>
        <w:rPr>
          <w:rFonts w:hint="eastAsia" w:ascii="Times New Roman" w:hAnsi="Times New Roman" w:eastAsia="方正仿宋_GBK" w:cs="Times New Roman"/>
          <w:color w:val="auto"/>
          <w:sz w:val="32"/>
          <w:szCs w:val="32"/>
          <w:lang w:val="en-US" w:eastAsia="zh-CN"/>
        </w:rPr>
        <w:t>等文件</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指导辖区中职学校开展工作。</w:t>
      </w:r>
    </w:p>
    <w:p w14:paraId="3191F011">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58" w:name="_Toc18085"/>
      <w:bookmarkStart w:id="359" w:name="_Toc8149"/>
      <w:bookmarkStart w:id="360" w:name="_Toc30554"/>
      <w:r>
        <w:rPr>
          <w:rFonts w:hint="eastAsia"/>
          <w:lang w:val="en-US" w:eastAsia="zh-CN"/>
        </w:rPr>
        <w:t>7.2.1国家、市级政策落实</w:t>
      </w:r>
      <w:bookmarkEnd w:id="354"/>
      <w:bookmarkEnd w:id="355"/>
      <w:bookmarkEnd w:id="356"/>
      <w:bookmarkEnd w:id="358"/>
      <w:bookmarkEnd w:id="359"/>
      <w:bookmarkEnd w:id="360"/>
    </w:p>
    <w:p w14:paraId="3141754A">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bookmarkStart w:id="361" w:name="_Toc8555"/>
      <w:bookmarkStart w:id="362" w:name="_Toc22288"/>
      <w:bookmarkStart w:id="363" w:name="_Toc14670"/>
      <w:r>
        <w:rPr>
          <w:rFonts w:hint="eastAsia" w:ascii="Times New Roman" w:hAnsi="Times New Roman" w:eastAsia="方正仿宋_GBK" w:cs="Times New Roman"/>
          <w:color w:val="auto"/>
          <w:sz w:val="32"/>
          <w:szCs w:val="32"/>
          <w:lang w:val="en-US" w:eastAsia="zh-CN"/>
        </w:rPr>
        <w:t>南岸区贯彻落实教育部等十部门《关于办好2024年职业教育活动周的通知》（教职成函〔2024〕2号），教育部《关于深入推进职业教育集团化办学的意见》《重庆市推动现代职业教育高质量发展若干措施》等文件精神，举办南岸区职业教育集团职业教育活动周，区教委、区中小学书记校长、合作企业代表、关工委代表，家长代表参与此次活动，活动以“龙职印象”为主线，通过专业技能展示、成果展示、舞台表演等方式向社会各界彰显职业教育的魅力，增强全社会对职业教育的信心。</w:t>
      </w:r>
    </w:p>
    <w:p w14:paraId="62E352BB">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64" w:name="_Toc16571"/>
      <w:bookmarkStart w:id="365" w:name="_Toc20930"/>
      <w:bookmarkStart w:id="366" w:name="_Toc30605"/>
      <w:r>
        <w:rPr>
          <w:rFonts w:hint="eastAsia"/>
          <w:lang w:val="en-US" w:eastAsia="zh-CN"/>
        </w:rPr>
        <w:t>7.2.2区级政策落实</w:t>
      </w:r>
      <w:bookmarkEnd w:id="361"/>
      <w:bookmarkEnd w:id="362"/>
      <w:bookmarkEnd w:id="363"/>
      <w:bookmarkEnd w:id="364"/>
      <w:bookmarkEnd w:id="365"/>
      <w:bookmarkEnd w:id="366"/>
    </w:p>
    <w:p w14:paraId="1533E780">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党的二十大报告指出，必须坚持科技是第一生产力、人才是第一资源、创新是第一动力，深入实施科教兴国战略、人才强国战略、创新驱动发展战略，开辟发展新领域新赛道，不断塑造发展新动能新优势。南岸区始终把人才作为支撑发展的“第一资源”，不遗余力为人才创造最优生态。南岸区第二届“江南菁英”人才申报工作正式启动，南岸区高度重视，指导中职学校组织全校教职工认真学习政策文件，通过教师个人申报和组织推荐，龙门浩职业中学校计算机部专业教师曾长春成功入选江南教育菁英，学校以曾长春江南菁英工作室为支点，持续带动学校教师队伍高水平建设，赋能区域产业高质量发展。</w:t>
      </w:r>
    </w:p>
    <w:p w14:paraId="798A028B">
      <w:pPr>
        <w:pStyle w:val="4"/>
        <w:keepNext w:val="0"/>
        <w:keepLines w:val="0"/>
        <w:pageBreakBefore w:val="0"/>
        <w:widowControl w:val="0"/>
        <w:kinsoku/>
        <w:wordWrap/>
        <w:overflowPunct/>
        <w:topLinePunct w:val="0"/>
        <w:autoSpaceDE/>
        <w:autoSpaceDN/>
        <w:bidi w:val="0"/>
        <w:spacing w:line="600" w:lineRule="exact"/>
        <w:textAlignment w:val="auto"/>
        <w:rPr>
          <w:rFonts w:hint="default"/>
          <w:lang w:val="en-US" w:eastAsia="zh-CN"/>
        </w:rPr>
      </w:pPr>
      <w:bookmarkStart w:id="367" w:name="_Toc1111"/>
      <w:bookmarkStart w:id="368" w:name="_Toc16154"/>
      <w:bookmarkStart w:id="369" w:name="_Toc20271"/>
      <w:r>
        <w:rPr>
          <w:rFonts w:hint="eastAsia"/>
          <w:lang w:val="en-US" w:eastAsia="zh-CN"/>
        </w:rPr>
        <w:t>7.2.3技工学校政策落实情况</w:t>
      </w:r>
      <w:bookmarkEnd w:id="367"/>
      <w:bookmarkEnd w:id="368"/>
      <w:bookmarkEnd w:id="369"/>
    </w:p>
    <w:p w14:paraId="1EB4476D">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学校积极落实国家和地方教育政策，确保各项教育改革措施得到有效执行。通过定期组织政策学习会，加强全体教职工对最新教育政策的理解和掌握，确保教育方针和政策在校园内得到全面贯彻。学校还注重与政府部门的沟通协作，及时反馈教育实践中遇到的问题和需求，争取政策支持和资源倾斜，为学校的发展创造良好的外部环境。通过建立和完善内部政策执行机制，确保各项政策在校园内落地生根。学校定期对政策执行情况进行评估和监督，及时发现并解决执行过程中的问题，确保政策执行的效率和效果。</w:t>
      </w:r>
    </w:p>
    <w:p w14:paraId="246C0C1D">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楷体_GBK" w:cs="Times New Roman"/>
          <w:b w:val="0"/>
          <w:color w:val="auto"/>
          <w:kern w:val="2"/>
          <w:sz w:val="32"/>
          <w:szCs w:val="32"/>
          <w:lang w:val="en-US" w:eastAsia="zh-CN" w:bidi="ar-SA"/>
        </w:rPr>
        <w:t>7.2.4特教中心政策落实情况</w:t>
      </w:r>
    </w:p>
    <w:p w14:paraId="76336553">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重庆市特殊教育中心附设中职班体量小，人数少，但在专业设置、人才培养方案制定、教材建设管理、教学质量保障、学生实习实训管理等工作方面，均严格照国家相关政策法规落实。</w:t>
      </w:r>
    </w:p>
    <w:p w14:paraId="710A2D39">
      <w:pPr>
        <w:pStyle w:val="3"/>
        <w:keepNext w:val="0"/>
        <w:keepLines w:val="0"/>
        <w:pageBreakBefore w:val="0"/>
        <w:widowControl w:val="0"/>
        <w:kinsoku/>
        <w:wordWrap/>
        <w:overflowPunct/>
        <w:topLinePunct w:val="0"/>
        <w:autoSpaceDE/>
        <w:autoSpaceDN/>
        <w:bidi w:val="0"/>
        <w:spacing w:line="600" w:lineRule="exact"/>
        <w:textAlignment w:val="auto"/>
        <w:rPr>
          <w:rFonts w:hint="eastAsia"/>
        </w:rPr>
      </w:pPr>
      <w:bookmarkStart w:id="370" w:name="_Toc25280"/>
      <w:bookmarkStart w:id="371" w:name="_Toc28646"/>
      <w:bookmarkStart w:id="372" w:name="_Toc17452"/>
      <w:r>
        <w:rPr>
          <w:rFonts w:hint="eastAsia"/>
        </w:rPr>
        <w:t>7.3学校治理</w:t>
      </w:r>
      <w:bookmarkEnd w:id="370"/>
      <w:bookmarkEnd w:id="371"/>
      <w:bookmarkEnd w:id="372"/>
    </w:p>
    <w:p w14:paraId="606F1022">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bookmarkStart w:id="373" w:name="_Toc27207"/>
      <w:r>
        <w:rPr>
          <w:rFonts w:hint="eastAsia" w:ascii="Times New Roman" w:hAnsi="Times New Roman" w:eastAsia="方正仿宋_GBK" w:cs="Times New Roman"/>
          <w:color w:val="auto"/>
          <w:sz w:val="32"/>
          <w:szCs w:val="32"/>
          <w:lang w:val="en-US" w:eastAsia="zh-CN"/>
        </w:rPr>
        <w:t>南岸区围绕推动学校依法自主办学、特色发展、精致管理、品质立校，着力推进学校教育治理体系和治理能力现代化建设，构建现代学校综合治理体系和发展机制。</w:t>
      </w:r>
    </w:p>
    <w:p w14:paraId="2310315F">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龙门浩职业中学严格落实中小学党组织领导的校长负责制，确保党的领导贯穿学校工作全过程，修订完善“三重一大”议事规则，明确党委会、校长办公会等会议议事范围，规范议事流程；通过师生面谈、座谈会、兄弟学校调研等活动，着力解决师生急难愁盼问题；持续深化中职学校综合改革，推进依法治校进程，着力健全学校章程，修订完善《教职工绩效工资考核分配办法》，配套制定教职工《动态绩效考核方案》；大力拓展产教融合、校企合作，积极拓宽招生就业渠道，助力区域产业发展；充分发挥关工委、团组织的带动引导作用，积极组织师生参与社会调查、研学实践、志愿服务和公益活动。</w:t>
      </w:r>
    </w:p>
    <w:bookmarkEnd w:id="373"/>
    <w:p w14:paraId="0B7306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机电工程高级技工学校完善学校决策管理机制，推进以教职工代表大会为主体的民主监督体系建设，加强教代会、学代会、群团组织建设，形成学校自主管理、自我约束的体制机制；完善社会参与机制，推进理事会、咨询会、校友会建设，吸引各办学利益主体参与学校的建设、发展、管理和监督，拓宽社会参与和支持学校办学情况，学校数字治理能力等。</w:t>
      </w:r>
    </w:p>
    <w:p w14:paraId="2DE598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特教中心实行校长负责制，中职管理纳入学校整体管理，教育教学以学生处、教务处共同执行，以教务处下设职教教研组开展具体教学工作。学校以职教教研组专业教师为依托，组织成立重庆市推拿按摩学会盲人推拿按摩专委会，以此平台开展专业培训活动。</w:t>
      </w:r>
    </w:p>
    <w:p w14:paraId="69A22F58">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74" w:name="_Toc29747"/>
      <w:bookmarkStart w:id="375" w:name="_Toc17750"/>
      <w:bookmarkStart w:id="376" w:name="_Toc26150"/>
      <w:r>
        <w:rPr>
          <w:rFonts w:hint="eastAsia"/>
          <w:lang w:val="en-US" w:eastAsia="zh-CN"/>
        </w:rPr>
        <w:t>7.4质量保证</w:t>
      </w:r>
      <w:bookmarkEnd w:id="374"/>
      <w:bookmarkEnd w:id="375"/>
      <w:bookmarkEnd w:id="376"/>
    </w:p>
    <w:p w14:paraId="2BF59E42">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rPr>
      </w:pPr>
      <w:bookmarkStart w:id="377" w:name="_Toc7442"/>
      <w:r>
        <w:rPr>
          <w:rFonts w:hint="eastAsia" w:ascii="Times New Roman" w:hAnsi="Times New Roman" w:eastAsia="方正仿宋_GBK" w:cs="Times New Roman"/>
          <w:color w:val="auto"/>
          <w:sz w:val="32"/>
          <w:szCs w:val="32"/>
          <w:lang w:val="en-US" w:eastAsia="zh-CN"/>
        </w:rPr>
        <w:t>南岸区</w:t>
      </w:r>
      <w:r>
        <w:rPr>
          <w:rFonts w:hint="eastAsia" w:ascii="Times New Roman" w:hAnsi="Times New Roman" w:eastAsia="方正仿宋_GBK" w:cs="Times New Roman"/>
          <w:color w:val="auto"/>
          <w:sz w:val="32"/>
          <w:szCs w:val="32"/>
        </w:rPr>
        <w:t>积极推动学校质量保证体系建设，满足教育与经济社会高质量发展要求、产业升级需求有效对接。</w:t>
      </w:r>
      <w:bookmarkEnd w:id="377"/>
    </w:p>
    <w:p w14:paraId="0C3D6B52">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龙门浩职业中学校以建设“重庆领先、全国知名、走向世界”的“国际化、信息化、职业化”的优质中职学校为目标，及时获取政策、读懂政策、分解政策、执行政策、落实政策为基础，提高中职学校治理水平和育人质量。坚持落实立德树人根本任务，创新实践大思政一体化建设，协助组织重庆市第二届区域大中小学思政课一体化建设创新发展论坛顺利开展。在教育教学中，进行教育教学评价改革创新，以中高职贯通培养学分银行建设为探索路径，抓好《国家职业教育改革实施方案》落实；加强“三全育人”、“五金”建设、职教高考、产教融合校企合作深化、职普融通课程体系建设等重点发展领域，创新机制推动《关于推动现代职业教育高质量发展的意见》落地生根；加强成渝职业院校互动交流，促进成渝双城经济圈职业教育建设发展，在长三角职业教育一体化协同发展论坛和“东西联动五地协同”服务长江经济带职业教育协同发展会议上亮出龙职“大思政”建设的成果。推进《职业教育提质培优行动计划(2020—2023年)》落细落小，龙门浩职业中学校“双优”建设成功通过验收，获评重庆市A类“双优”学校。师资队伍建设、教科研协同发展取得新进展，成功申报重庆市第三批中职学校电子商务教学创新团队，成功结项两个“课堂革命”典型案例，成功立项6个职业教育教育教学改革项目、市区规划课题、教学成果奖培育A类项目，重庆市“双师型”高星级饭店运营与管理名师工作室、南岸区第一批“李琦江南教育菁英”等教师团队在各级各类活动中积极发声，获得高度认可。教育教学质量稳步提升，学生通过3+4、3+2对口贯通培养和职教高考顺利升学；通过专业技能培训和企业实习实训，获得就业技能，顺利找到就业岗位；通过各种比赛展示、社团活动，学生特长更加突出，成长更加自信；通过“一生一档”工作开展，全校教学为学生健康发展保驾护航；通过“书香校园”建设，学校的阅读氛围更加浓厚，学生对读书的认同度更高。</w:t>
      </w:r>
    </w:p>
    <w:p w14:paraId="0A568491">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机电工程高级技工学校建立了质量保证机制，分工明确，在质量体系建设的基础上，建立了多元化的教学质量监督机制，构建了多维的评价机制，多途径、多领域培养教师，在教育教学管理专业建设方面落实到位。一是质量保证体系建设，学校在认真总结职业教育教学管理工作的基础上，理清教学质量保障体系建设思路，形成了以教学质量目标、教学资源保障、教学过程管理、教学质量监控等为核心的教学质量保障框架。二是建立多元化的教学质量监督机制。在原有的教师教学质量评价和教学督导制度之上，增设了学生教学信息员和教学工作定期检查制度。教师教学质量评价由过去的单纯学生问卷评价改为学生网上评价与院系评价、教师自评相结合，促进教师教学改进。三是积极构建院系教学管理工作评价机制。加强学校、专业部两级教学管理建设，提高学校在教学管理方面的积极性和主动性，适时出台了《教学管理工作评价指标（试行）》，并在试评价的基础上逐步形成了较为完善的评价方式。四是多种渠道提高师资队伍整体水平。以教学团队建设促进教师专业水平提高，以青年教师导师制促进青年教师教学水平提高，形成全面提高师资水平的良性机制。加强对外聘教师的管理，出台了《外聘教师管理办法（试行）》，为构建稳定的高水平外聘教师队伍，更好地发挥外聘教师作用提供了保障。五是学校加大教学建设的力度。各专业部开展教学建设工作，以评促建，完善课程建设规划，规范教学档案。各专业部组织教师开展“说课程”活动，使任课教师进一步深入理解所任课程教学目标，进一步更新教学内容、改进教学方法。</w:t>
      </w:r>
    </w:p>
    <w:p w14:paraId="5E881168">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default"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特教中心建立健全内部质量保障体系，制定教学质量监控与评价制度，涵盖课堂教学、实践教学、考试考核等全过程。定期开展教学质量评估，通过学生评教、教师互评、推门听课等方式，及时发现教学问题并加以整改。学校积极鼓励教师参与培训和技能竞赛等活动。2023学年，学校附设中职班为高等院校输送学生7名，为盲人按摩企业输送学生8名，学校职业教育板块撰写公众号3篇，累计阅读量近2000，开展学生课余活动近15次、学术研讨会1次、教师研修培训5次、系统类培训3次、各类志愿服务活动2次。</w:t>
      </w:r>
    </w:p>
    <w:p w14:paraId="5D635C89">
      <w:pPr>
        <w:pStyle w:val="3"/>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78" w:name="_Toc7653"/>
      <w:bookmarkStart w:id="379" w:name="_Toc19599"/>
      <w:bookmarkStart w:id="380" w:name="_Toc19540"/>
      <w:r>
        <w:rPr>
          <w:rFonts w:hint="eastAsia"/>
          <w:lang w:val="en-US" w:eastAsia="zh-CN"/>
        </w:rPr>
        <w:t>7.5经费保障</w:t>
      </w:r>
      <w:bookmarkEnd w:id="378"/>
      <w:bookmarkEnd w:id="379"/>
      <w:bookmarkEnd w:id="380"/>
    </w:p>
    <w:p w14:paraId="2313ACFB">
      <w:pPr>
        <w:pStyle w:val="4"/>
        <w:keepNext w:val="0"/>
        <w:keepLines w:val="0"/>
        <w:pageBreakBefore w:val="0"/>
        <w:widowControl w:val="0"/>
        <w:kinsoku/>
        <w:wordWrap/>
        <w:overflowPunct/>
        <w:topLinePunct w:val="0"/>
        <w:autoSpaceDE/>
        <w:autoSpaceDN/>
        <w:bidi w:val="0"/>
        <w:spacing w:line="600" w:lineRule="exact"/>
        <w:textAlignment w:val="auto"/>
        <w:rPr>
          <w:rFonts w:hint="eastAsia"/>
          <w:lang w:val="en-US" w:eastAsia="zh-CN"/>
        </w:rPr>
      </w:pPr>
      <w:bookmarkStart w:id="381" w:name="_Toc6278"/>
      <w:bookmarkStart w:id="382" w:name="_Toc2996"/>
      <w:bookmarkStart w:id="383" w:name="_Toc8707"/>
      <w:bookmarkStart w:id="384" w:name="案例"/>
      <w:bookmarkStart w:id="385" w:name="OLE_LINK3"/>
      <w:r>
        <w:rPr>
          <w:rFonts w:hint="eastAsia"/>
          <w:lang w:val="en-US" w:eastAsia="zh-CN"/>
        </w:rPr>
        <w:t>7.5.1经费来源</w:t>
      </w:r>
      <w:bookmarkEnd w:id="381"/>
      <w:bookmarkEnd w:id="382"/>
      <w:bookmarkEnd w:id="383"/>
    </w:p>
    <w:bookmarkEnd w:id="384"/>
    <w:bookmarkEnd w:id="385"/>
    <w:p w14:paraId="702E66BD">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近两年委属公办中职学校自然年度学生经费来源渠道主要是财政拨款。2022年生均财政拨款15028.89元，2023年生均财政拨款15789.52元，较上年增长5.06%。2023年度项目经费涉及项目有双优校项目、改善办学条件项目、1+X证书、新增优质专业项目、实训基地建设项目、校园安保项目等共计约1669.95万元；其他收入主要有学生住宿费收入、培训收入等约356.81万元。</w:t>
      </w:r>
      <w:bookmarkStart w:id="386" w:name="_Toc23053"/>
    </w:p>
    <w:p w14:paraId="68213171">
      <w:pPr>
        <w:pStyle w:val="38"/>
        <w:bidi w:val="0"/>
        <w:rPr>
          <w:rFonts w:hint="eastAsia"/>
          <w:lang w:val="en-US" w:eastAsia="zh-CN"/>
        </w:rPr>
      </w:pPr>
      <w:bookmarkStart w:id="387" w:name="_Toc6982"/>
      <w:r>
        <w:rPr>
          <w:rFonts w:hint="eastAsia"/>
          <w:lang w:val="en-US" w:eastAsia="zh-CN"/>
        </w:rPr>
        <w:t xml:space="preserve">表17 </w:t>
      </w:r>
      <w:r>
        <w:rPr>
          <w:rFonts w:hint="eastAsia"/>
        </w:rPr>
        <w:t>中职学校</w:t>
      </w:r>
      <w:r>
        <w:rPr>
          <w:rFonts w:hint="eastAsia"/>
          <w:lang w:val="en-US" w:eastAsia="zh-CN"/>
        </w:rPr>
        <w:t>办学经费收入情况一览表</w:t>
      </w:r>
      <w:bookmarkEnd w:id="386"/>
      <w:r>
        <w:rPr>
          <w:rFonts w:hint="eastAsia"/>
          <w:lang w:val="en-US" w:eastAsia="zh-CN"/>
        </w:rPr>
        <w:t>（单位：万元）</w:t>
      </w:r>
      <w:bookmarkEnd w:id="387"/>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231"/>
        <w:gridCol w:w="1362"/>
        <w:gridCol w:w="1217"/>
        <w:gridCol w:w="640"/>
        <w:gridCol w:w="640"/>
        <w:gridCol w:w="644"/>
        <w:gridCol w:w="1073"/>
        <w:gridCol w:w="1565"/>
      </w:tblGrid>
      <w:tr w14:paraId="482D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 w:type="pct"/>
            <w:vMerge w:val="restar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0C4C011A">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时间</w:t>
            </w:r>
          </w:p>
        </w:tc>
        <w:tc>
          <w:tcPr>
            <w:tcW w:w="679"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7EE1617C">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学校总收入</w:t>
            </w:r>
          </w:p>
        </w:tc>
        <w:tc>
          <w:tcPr>
            <w:tcW w:w="2483" w:type="pct"/>
            <w:gridSpan w:val="5"/>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205890FE">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其中</w:t>
            </w:r>
          </w:p>
        </w:tc>
        <w:tc>
          <w:tcPr>
            <w:tcW w:w="592"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6075CEDC">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贷款余额</w:t>
            </w:r>
          </w:p>
        </w:tc>
        <w:tc>
          <w:tcPr>
            <w:tcW w:w="863"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4D8463C9">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年生均财政拨款水平（单位：元）</w:t>
            </w:r>
          </w:p>
        </w:tc>
      </w:tr>
      <w:tr w14:paraId="368A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 w:type="pct"/>
            <w:vMerge w:val="continue"/>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C74D3E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679"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2DB780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75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DE4641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中央、地方财政专项投入合计</w:t>
            </w:r>
          </w:p>
        </w:tc>
        <w:tc>
          <w:tcPr>
            <w:tcW w:w="671"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A67AC2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财政经常性补助收入合计</w:t>
            </w:r>
          </w:p>
        </w:tc>
        <w:tc>
          <w:tcPr>
            <w:tcW w:w="35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B20649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学费收入合计</w:t>
            </w:r>
          </w:p>
        </w:tc>
        <w:tc>
          <w:tcPr>
            <w:tcW w:w="353"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369013F">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社会捐赠金额</w:t>
            </w:r>
          </w:p>
        </w:tc>
        <w:tc>
          <w:tcPr>
            <w:tcW w:w="354" w:type="pc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A460A0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其他收入总额</w:t>
            </w:r>
          </w:p>
        </w:tc>
        <w:tc>
          <w:tcPr>
            <w:tcW w:w="592"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1CD939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863" w:type="pct"/>
            <w:vMerge w:val="continue"/>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6BA9504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r>
      <w:tr w14:paraId="700A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ign w:val="center"/>
          </w:tcPr>
          <w:p w14:paraId="4A56433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2022</w:t>
            </w:r>
          </w:p>
        </w:tc>
        <w:tc>
          <w:tcPr>
            <w:tcW w:w="67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CCF42F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10155.48</w:t>
            </w:r>
          </w:p>
        </w:tc>
        <w:tc>
          <w:tcPr>
            <w:tcW w:w="75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BED46C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9770.28</w:t>
            </w:r>
          </w:p>
        </w:tc>
        <w:tc>
          <w:tcPr>
            <w:tcW w:w="67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976D2F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385.2</w:t>
            </w:r>
          </w:p>
        </w:tc>
        <w:tc>
          <w:tcPr>
            <w:tcW w:w="3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14B2EE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35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9BE8C6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354"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163084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592"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064681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1000</w:t>
            </w:r>
          </w:p>
        </w:tc>
        <w:tc>
          <w:tcPr>
            <w:tcW w:w="863"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noWrap/>
            <w:vAlign w:val="center"/>
          </w:tcPr>
          <w:p w14:paraId="1C54935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15028.89</w:t>
            </w:r>
          </w:p>
        </w:tc>
      </w:tr>
      <w:tr w14:paraId="62B6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0828F1D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2023</w:t>
            </w:r>
          </w:p>
        </w:tc>
        <w:tc>
          <w:tcPr>
            <w:tcW w:w="679"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0B41030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10212.63</w:t>
            </w:r>
          </w:p>
        </w:tc>
        <w:tc>
          <w:tcPr>
            <w:tcW w:w="75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4E3F309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9855.82</w:t>
            </w:r>
          </w:p>
        </w:tc>
        <w:tc>
          <w:tcPr>
            <w:tcW w:w="67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6827EEC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356.81</w:t>
            </w:r>
          </w:p>
        </w:tc>
        <w:tc>
          <w:tcPr>
            <w:tcW w:w="35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7D51D3C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35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553C985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354"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4C38704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592"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3324CDB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1785.88</w:t>
            </w:r>
          </w:p>
        </w:tc>
        <w:tc>
          <w:tcPr>
            <w:tcW w:w="863"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noWrap/>
            <w:vAlign w:val="center"/>
          </w:tcPr>
          <w:p w14:paraId="394D6ED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15789.52</w:t>
            </w:r>
          </w:p>
        </w:tc>
      </w:tr>
    </w:tbl>
    <w:p w14:paraId="380C2A2A">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bookmarkStart w:id="388" w:name="_Toc6925"/>
      <w:bookmarkStart w:id="389" w:name="_Toc28345"/>
      <w:bookmarkStart w:id="390" w:name="_Toc4713"/>
      <w:r>
        <w:rPr>
          <w:rFonts w:hint="eastAsia"/>
          <w:lang w:val="en-US" w:eastAsia="zh-CN"/>
        </w:rPr>
        <w:t>7.5.2经费支出</w:t>
      </w:r>
      <w:bookmarkEnd w:id="388"/>
      <w:bookmarkEnd w:id="389"/>
      <w:bookmarkEnd w:id="390"/>
    </w:p>
    <w:p w14:paraId="7A3591E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2022年度委属公办中职学校基础设施建设占比2.94%；设备采购占比5.87%，其中教学科研仪器设备采购占比2.40%；日常教学经费占比为63.13%，其中教学实习仪器维修费占比0.33%，体育维持费0.03%，其他支出占比62.78%，主要包括教师的工资、奖金、保险等；师资队伍建设费占比为0.69%，教学改革及研究费占经费支出比例为0.56%，其他支出占比26.8%。</w:t>
      </w:r>
    </w:p>
    <w:p w14:paraId="450A3C7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2023年度委属公办中职学校基础设施建设占比2.12%；设备采购占比5.91%，其中教学科研仪器设备采购占比2.32%；日常教学经费占比为65.82%，其中实验实习费占比0.12%，教学实习仪器维修费占比0.90%，体育维持费0.03%，其他支出占比64.76%，主要包括教师的工资、奖金、保险等；师资队伍建设费占比为2.13%，教学改革及研究费占经费支出比例为0.38%，其他支出占比23.64%；还贷金额占比2.34%。</w:t>
      </w:r>
      <w:bookmarkStart w:id="391" w:name="_Toc20418"/>
    </w:p>
    <w:p w14:paraId="37E6EC39">
      <w:pPr>
        <w:pStyle w:val="38"/>
        <w:bidi w:val="0"/>
        <w:rPr>
          <w:rFonts w:hint="eastAsia"/>
          <w:lang w:val="en-US" w:eastAsia="zh-CN"/>
        </w:rPr>
      </w:pPr>
      <w:bookmarkStart w:id="392" w:name="_Toc11554"/>
      <w:r>
        <w:rPr>
          <w:rFonts w:hint="eastAsia"/>
          <w:lang w:val="en-US" w:eastAsia="zh-CN"/>
        </w:rPr>
        <w:t>表18 中职学校办学经费支出情况一览表</w:t>
      </w:r>
      <w:bookmarkEnd w:id="391"/>
      <w:r>
        <w:rPr>
          <w:rFonts w:hint="eastAsia"/>
          <w:lang w:val="en-US" w:eastAsia="zh-CN"/>
        </w:rPr>
        <w:t>（单位：万元）</w:t>
      </w:r>
      <w:bookmarkEnd w:id="392"/>
    </w:p>
    <w:tbl>
      <w:tblPr>
        <w:tblStyle w:val="21"/>
        <w:tblW w:w="5000" w:type="pct"/>
        <w:jc w:val="center"/>
        <w:tblLayout w:type="autofit"/>
        <w:tblCellMar>
          <w:top w:w="0" w:type="dxa"/>
          <w:left w:w="108" w:type="dxa"/>
          <w:bottom w:w="0" w:type="dxa"/>
          <w:right w:w="108" w:type="dxa"/>
        </w:tblCellMar>
      </w:tblPr>
      <w:tblGrid>
        <w:gridCol w:w="493"/>
        <w:gridCol w:w="746"/>
        <w:gridCol w:w="606"/>
        <w:gridCol w:w="608"/>
        <w:gridCol w:w="607"/>
        <w:gridCol w:w="680"/>
        <w:gridCol w:w="530"/>
        <w:gridCol w:w="537"/>
        <w:gridCol w:w="357"/>
        <w:gridCol w:w="497"/>
        <w:gridCol w:w="473"/>
        <w:gridCol w:w="671"/>
        <w:gridCol w:w="602"/>
        <w:gridCol w:w="541"/>
        <w:gridCol w:w="690"/>
        <w:gridCol w:w="423"/>
      </w:tblGrid>
      <w:tr w14:paraId="7061CDDD">
        <w:tblPrEx>
          <w:tblCellMar>
            <w:top w:w="0" w:type="dxa"/>
            <w:left w:w="108" w:type="dxa"/>
            <w:bottom w:w="0" w:type="dxa"/>
            <w:right w:w="108" w:type="dxa"/>
          </w:tblCellMar>
        </w:tblPrEx>
        <w:trPr>
          <w:trHeight w:val="0" w:hRule="atLeast"/>
          <w:jc w:val="center"/>
        </w:trPr>
        <w:tc>
          <w:tcPr>
            <w:tcW w:w="319" w:type="pct"/>
            <w:vMerge w:val="restart"/>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2312E787">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时间</w:t>
            </w:r>
          </w:p>
        </w:tc>
        <w:tc>
          <w:tcPr>
            <w:tcW w:w="401"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5B0693B3">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学校</w:t>
            </w:r>
          </w:p>
          <w:p w14:paraId="1C05D00E">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总支出</w:t>
            </w:r>
          </w:p>
        </w:tc>
        <w:tc>
          <w:tcPr>
            <w:tcW w:w="4047" w:type="pct"/>
            <w:gridSpan w:val="13"/>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noWrap/>
            <w:vAlign w:val="center"/>
          </w:tcPr>
          <w:p w14:paraId="7B6151F6">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其中</w:t>
            </w:r>
          </w:p>
        </w:tc>
        <w:tc>
          <w:tcPr>
            <w:tcW w:w="232" w:type="pct"/>
            <w:vMerge w:val="restart"/>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4C8AE40C">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还贷</w:t>
            </w:r>
          </w:p>
          <w:p w14:paraId="2A8C4F51">
            <w:pPr>
              <w:widowControl/>
              <w:jc w:val="center"/>
              <w:textAlignment w:val="center"/>
              <w:rPr>
                <w:rFonts w:hint="eastAsia" w:ascii="方正仿宋_GBK" w:hAnsi="方正仿宋_GBK" w:eastAsia="方正仿宋_GBK" w:cs="方正仿宋_GBK"/>
                <w:b/>
                <w:bCs w:val="0"/>
                <w:i w:val="0"/>
                <w:color w:val="FFFFFF"/>
                <w:kern w:val="0"/>
                <w:szCs w:val="21"/>
                <w:lang w:val="en-US" w:eastAsia="zh-CN" w:bidi="ar"/>
              </w:rPr>
            </w:pPr>
            <w:r>
              <w:rPr>
                <w:rFonts w:hint="eastAsia" w:ascii="方正仿宋_GBK" w:hAnsi="方正仿宋_GBK" w:eastAsia="方正仿宋_GBK" w:cs="方正仿宋_GBK"/>
                <w:b/>
                <w:bCs w:val="0"/>
                <w:i w:val="0"/>
                <w:color w:val="FFFFFF"/>
                <w:kern w:val="0"/>
                <w:szCs w:val="21"/>
                <w:lang w:val="en-US" w:eastAsia="zh-CN" w:bidi="ar"/>
              </w:rPr>
              <w:t>金额</w:t>
            </w:r>
          </w:p>
        </w:tc>
      </w:tr>
      <w:tr w14:paraId="72A9AC16">
        <w:tblPrEx>
          <w:tblCellMar>
            <w:top w:w="0" w:type="dxa"/>
            <w:left w:w="108" w:type="dxa"/>
            <w:bottom w:w="0" w:type="dxa"/>
            <w:right w:w="108" w:type="dxa"/>
          </w:tblCellMar>
        </w:tblPrEx>
        <w:trPr>
          <w:trHeight w:val="0" w:hRule="atLeast"/>
          <w:jc w:val="center"/>
        </w:trPr>
        <w:tc>
          <w:tcPr>
            <w:tcW w:w="319" w:type="pct"/>
            <w:vMerge w:val="continue"/>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416653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401"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52512D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25" w:type="pct"/>
            <w:vMerge w:val="restar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296CE3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基础设施建设</w:t>
            </w:r>
          </w:p>
        </w:tc>
        <w:tc>
          <w:tcPr>
            <w:tcW w:w="651" w:type="pct"/>
            <w:gridSpan w:val="2"/>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8DD5AE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设备采购</w:t>
            </w:r>
          </w:p>
        </w:tc>
        <w:tc>
          <w:tcPr>
            <w:tcW w:w="2093" w:type="pct"/>
            <w:gridSpan w:val="7"/>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373F68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日常教学经费</w:t>
            </w:r>
          </w:p>
        </w:tc>
        <w:tc>
          <w:tcPr>
            <w:tcW w:w="325" w:type="pct"/>
            <w:vMerge w:val="restar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E12CE3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师资队伍建设费</w:t>
            </w:r>
          </w:p>
        </w:tc>
        <w:tc>
          <w:tcPr>
            <w:tcW w:w="288" w:type="pct"/>
            <w:vMerge w:val="restar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B73ED2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教学改革及研究费</w:t>
            </w:r>
          </w:p>
        </w:tc>
        <w:tc>
          <w:tcPr>
            <w:tcW w:w="363" w:type="pct"/>
            <w:vMerge w:val="restart"/>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F80154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其他支出总额</w:t>
            </w:r>
          </w:p>
        </w:tc>
        <w:tc>
          <w:tcPr>
            <w:tcW w:w="232" w:type="pct"/>
            <w:vMerge w:val="continue"/>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FF8B07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r>
      <w:tr w14:paraId="6FF829BE">
        <w:tblPrEx>
          <w:tblCellMar>
            <w:top w:w="0" w:type="dxa"/>
            <w:left w:w="108" w:type="dxa"/>
            <w:bottom w:w="0" w:type="dxa"/>
            <w:right w:w="108" w:type="dxa"/>
          </w:tblCellMar>
        </w:tblPrEx>
        <w:trPr>
          <w:trHeight w:val="0" w:hRule="atLeast"/>
          <w:jc w:val="center"/>
        </w:trPr>
        <w:tc>
          <w:tcPr>
            <w:tcW w:w="319"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48FFC5F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401"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46DA6F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25"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14C6F2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25" w:type="pct"/>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452DD0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总值</w:t>
            </w:r>
          </w:p>
        </w:tc>
        <w:tc>
          <w:tcPr>
            <w:tcW w:w="325" w:type="pct"/>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0FC81B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其中：教学科研仪器设备值</w:t>
            </w:r>
          </w:p>
        </w:tc>
        <w:tc>
          <w:tcPr>
            <w:tcW w:w="363" w:type="pct"/>
            <w:vMerge w:val="restar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A3E82D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总值</w:t>
            </w:r>
          </w:p>
        </w:tc>
        <w:tc>
          <w:tcPr>
            <w:tcW w:w="1729" w:type="pct"/>
            <w:gridSpan w:val="6"/>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2D73183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其中</w:t>
            </w:r>
          </w:p>
        </w:tc>
        <w:tc>
          <w:tcPr>
            <w:tcW w:w="325"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286C8F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88"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2AFBB9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63"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DB0684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32"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32046C2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r>
      <w:tr w14:paraId="515AD116">
        <w:tblPrEx>
          <w:tblCellMar>
            <w:top w:w="0" w:type="dxa"/>
            <w:left w:w="108" w:type="dxa"/>
            <w:bottom w:w="0" w:type="dxa"/>
            <w:right w:w="108" w:type="dxa"/>
          </w:tblCellMar>
        </w:tblPrEx>
        <w:trPr>
          <w:trHeight w:val="0" w:hRule="atLeast"/>
          <w:jc w:val="center"/>
        </w:trPr>
        <w:tc>
          <w:tcPr>
            <w:tcW w:w="319" w:type="pct"/>
            <w:vMerge w:val="continue"/>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75F9D58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401"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02C287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25"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328C66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25"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F89A82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25"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D64E2A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63"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A126B1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8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E1012F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实验实习费</w:t>
            </w:r>
          </w:p>
        </w:tc>
        <w:tc>
          <w:tcPr>
            <w:tcW w:w="28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178F51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教学实习仪器维修费</w:t>
            </w:r>
          </w:p>
        </w:tc>
        <w:tc>
          <w:tcPr>
            <w:tcW w:w="21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0A9D8A5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聘请校外教师费</w:t>
            </w:r>
          </w:p>
        </w:tc>
        <w:tc>
          <w:tcPr>
            <w:tcW w:w="31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209742D6">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其中：</w:t>
            </w:r>
          </w:p>
          <w:p w14:paraId="74D0359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企业兼职教师课酬</w:t>
            </w:r>
          </w:p>
        </w:tc>
        <w:tc>
          <w:tcPr>
            <w:tcW w:w="2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44039FF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体育维持费</w:t>
            </w:r>
          </w:p>
        </w:tc>
        <w:tc>
          <w:tcPr>
            <w:tcW w:w="36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1750989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其他</w:t>
            </w:r>
          </w:p>
        </w:tc>
        <w:tc>
          <w:tcPr>
            <w:tcW w:w="325"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BB8414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88"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3EE64F2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363"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EDF1F9" w:themeFill="accent1" w:themeFillTint="19"/>
            <w:vAlign w:val="center"/>
          </w:tcPr>
          <w:p w14:paraId="5BDBC043">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c>
          <w:tcPr>
            <w:tcW w:w="232" w:type="pct"/>
            <w:vMerge w:val="continue"/>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EDF1F9" w:themeFill="accent1" w:themeFillTint="19"/>
            <w:vAlign w:val="center"/>
          </w:tcPr>
          <w:p w14:paraId="1ADB9E2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p>
        </w:tc>
      </w:tr>
      <w:tr w14:paraId="49C8A398">
        <w:tblPrEx>
          <w:tblCellMar>
            <w:top w:w="0" w:type="dxa"/>
            <w:left w:w="108" w:type="dxa"/>
            <w:bottom w:w="0" w:type="dxa"/>
            <w:right w:w="108" w:type="dxa"/>
          </w:tblCellMar>
        </w:tblPrEx>
        <w:trPr>
          <w:trHeight w:val="0" w:hRule="atLeast"/>
          <w:jc w:val="center"/>
        </w:trPr>
        <w:tc>
          <w:tcPr>
            <w:tcW w:w="31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ign w:val="center"/>
          </w:tcPr>
          <w:p w14:paraId="76B2156C">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2022</w:t>
            </w:r>
          </w:p>
        </w:tc>
        <w:tc>
          <w:tcPr>
            <w:tcW w:w="401"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37844B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10617.88</w:t>
            </w:r>
          </w:p>
        </w:tc>
        <w:tc>
          <w:tcPr>
            <w:tcW w:w="32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216059D2">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312.15</w:t>
            </w:r>
          </w:p>
        </w:tc>
        <w:tc>
          <w:tcPr>
            <w:tcW w:w="32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B2E9F3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623.31</w:t>
            </w:r>
          </w:p>
        </w:tc>
        <w:tc>
          <w:tcPr>
            <w:tcW w:w="32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1857EC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254.56</w:t>
            </w:r>
          </w:p>
        </w:tc>
        <w:tc>
          <w:tcPr>
            <w:tcW w:w="36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348A06D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6703.54</w:t>
            </w:r>
          </w:p>
        </w:tc>
        <w:tc>
          <w:tcPr>
            <w:tcW w:w="28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DCDB81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28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7EF5650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35.23</w:t>
            </w:r>
          </w:p>
        </w:tc>
        <w:tc>
          <w:tcPr>
            <w:tcW w:w="21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0CC2219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319"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A92D82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250"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145993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2.91</w:t>
            </w:r>
          </w:p>
        </w:tc>
        <w:tc>
          <w:tcPr>
            <w:tcW w:w="36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1D5CE1FE">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6665.4</w:t>
            </w:r>
          </w:p>
        </w:tc>
        <w:tc>
          <w:tcPr>
            <w:tcW w:w="325"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4D1743ED">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73.46</w:t>
            </w:r>
          </w:p>
        </w:tc>
        <w:tc>
          <w:tcPr>
            <w:tcW w:w="288"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6A66970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59.54</w:t>
            </w:r>
          </w:p>
        </w:tc>
        <w:tc>
          <w:tcPr>
            <w:tcW w:w="363" w:type="pct"/>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ign w:val="center"/>
          </w:tcPr>
          <w:p w14:paraId="5256B44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2845.88</w:t>
            </w:r>
          </w:p>
        </w:tc>
        <w:tc>
          <w:tcPr>
            <w:tcW w:w="232" w:type="pct"/>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noWrap/>
            <w:vAlign w:val="center"/>
          </w:tcPr>
          <w:p w14:paraId="50B627E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r>
      <w:tr w14:paraId="3471B4B0">
        <w:tblPrEx>
          <w:tblCellMar>
            <w:top w:w="0" w:type="dxa"/>
            <w:left w:w="108" w:type="dxa"/>
            <w:bottom w:w="0" w:type="dxa"/>
            <w:right w:w="108" w:type="dxa"/>
          </w:tblCellMar>
        </w:tblPrEx>
        <w:trPr>
          <w:trHeight w:val="0" w:hRule="atLeast"/>
          <w:jc w:val="center"/>
        </w:trPr>
        <w:tc>
          <w:tcPr>
            <w:tcW w:w="319" w:type="pct"/>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4552073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2023</w:t>
            </w:r>
          </w:p>
        </w:tc>
        <w:tc>
          <w:tcPr>
            <w:tcW w:w="401"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72575A5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10212.63</w:t>
            </w:r>
          </w:p>
        </w:tc>
        <w:tc>
          <w:tcPr>
            <w:tcW w:w="32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620E8F1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216.14</w:t>
            </w:r>
          </w:p>
        </w:tc>
        <w:tc>
          <w:tcPr>
            <w:tcW w:w="32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634E3EF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604.03</w:t>
            </w:r>
          </w:p>
        </w:tc>
        <w:tc>
          <w:tcPr>
            <w:tcW w:w="32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3C3049E7">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236.67</w:t>
            </w:r>
          </w:p>
        </w:tc>
        <w:tc>
          <w:tcPr>
            <w:tcW w:w="36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5EDA8F15">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6722.16</w:t>
            </w:r>
          </w:p>
        </w:tc>
        <w:tc>
          <w:tcPr>
            <w:tcW w:w="28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5DFFA27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12.66</w:t>
            </w:r>
          </w:p>
        </w:tc>
        <w:tc>
          <w:tcPr>
            <w:tcW w:w="28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654967EB">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92.21</w:t>
            </w:r>
          </w:p>
        </w:tc>
        <w:tc>
          <w:tcPr>
            <w:tcW w:w="219"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391503F0">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319"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6FF3A93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0</w:t>
            </w:r>
          </w:p>
        </w:tc>
        <w:tc>
          <w:tcPr>
            <w:tcW w:w="250"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7A54FCC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3.54</w:t>
            </w:r>
          </w:p>
        </w:tc>
        <w:tc>
          <w:tcPr>
            <w:tcW w:w="36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36863BB4">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6613.75</w:t>
            </w:r>
          </w:p>
        </w:tc>
        <w:tc>
          <w:tcPr>
            <w:tcW w:w="325"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6A75D309">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217.55</w:t>
            </w:r>
          </w:p>
        </w:tc>
        <w:tc>
          <w:tcPr>
            <w:tcW w:w="288"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1A293B58">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38.71</w:t>
            </w:r>
          </w:p>
        </w:tc>
        <w:tc>
          <w:tcPr>
            <w:tcW w:w="363" w:type="pct"/>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EDF1F9" w:themeFill="accent1" w:themeFillTint="19"/>
            <w:noWrap/>
            <w:vAlign w:val="center"/>
          </w:tcPr>
          <w:p w14:paraId="6520B261">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2414.04</w:t>
            </w:r>
          </w:p>
        </w:tc>
        <w:tc>
          <w:tcPr>
            <w:tcW w:w="232" w:type="pct"/>
            <w:tcBorders>
              <w:top w:val="single" w:color="B5C7EA" w:themeColor="accent1" w:themeTint="66" w:sz="6" w:space="0"/>
              <w:left w:val="single" w:color="B5C7EA" w:themeColor="accent1" w:themeTint="66" w:sz="6" w:space="0"/>
              <w:bottom w:val="single" w:color="4874CB" w:themeColor="accent1" w:sz="6" w:space="0"/>
              <w:right w:val="single" w:color="4874CB" w:themeColor="accent1" w:sz="6" w:space="0"/>
            </w:tcBorders>
            <w:shd w:val="clear" w:color="auto" w:fill="EDF1F9" w:themeFill="accent1" w:themeFillTint="19"/>
            <w:noWrap/>
            <w:vAlign w:val="center"/>
          </w:tcPr>
          <w:p w14:paraId="399DB4BA">
            <w:pPr>
              <w:widowControl/>
              <w:jc w:val="center"/>
              <w:textAlignment w:val="center"/>
              <w:rPr>
                <w:rFonts w:hint="eastAsia" w:ascii="方正仿宋_GBK" w:hAnsi="方正仿宋_GBK" w:eastAsia="方正仿宋_GBK" w:cs="方正仿宋_GBK"/>
                <w:b w:val="0"/>
                <w:bCs w:val="0"/>
                <w:i w:val="0"/>
                <w:color w:val="000000"/>
                <w:kern w:val="0"/>
                <w:szCs w:val="21"/>
                <w:lang w:val="en-US" w:eastAsia="zh-CN" w:bidi="ar"/>
              </w:rPr>
            </w:pPr>
            <w:r>
              <w:rPr>
                <w:rFonts w:hint="eastAsia" w:ascii="方正仿宋_GBK" w:hAnsi="方正仿宋_GBK" w:eastAsia="方正仿宋_GBK" w:cs="方正仿宋_GBK"/>
                <w:b w:val="0"/>
                <w:bCs w:val="0"/>
                <w:i w:val="0"/>
                <w:color w:val="000000"/>
                <w:kern w:val="0"/>
                <w:szCs w:val="21"/>
                <w:lang w:val="en-US" w:eastAsia="zh-CN" w:bidi="ar"/>
              </w:rPr>
              <w:t>239</w:t>
            </w:r>
          </w:p>
        </w:tc>
      </w:tr>
    </w:tbl>
    <w:p w14:paraId="2923F5A6">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2"/>
        <w:jc w:val="left"/>
        <w:textAlignment w:val="auto"/>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7.5.3技工学校经费情况</w:t>
      </w:r>
    </w:p>
    <w:p w14:paraId="7F894F1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2023年学校用于教学改革及专业课程研究经费支出近</w:t>
      </w:r>
      <w:r>
        <w:rPr>
          <w:rFonts w:hint="eastAsia" w:ascii="Times New Roman" w:hAnsi="Times New Roman" w:eastAsia="方正仿宋_GBK" w:cs="Times New Roman"/>
          <w:color w:val="auto"/>
          <w:sz w:val="32"/>
          <w:szCs w:val="32"/>
          <w:lang w:val="zh-CN" w:eastAsia="zh-CN"/>
        </w:rPr>
        <w:t>3</w:t>
      </w:r>
      <w:r>
        <w:rPr>
          <w:rFonts w:hint="eastAsia" w:ascii="Times New Roman" w:hAnsi="Times New Roman" w:eastAsia="方正仿宋_GBK" w:cs="Times New Roman"/>
          <w:color w:val="auto"/>
          <w:sz w:val="32"/>
          <w:szCs w:val="32"/>
          <w:lang w:val="en-US" w:eastAsia="zh-CN"/>
        </w:rPr>
        <w:t>5万元；用于日常教育教学经费支出近978.7万元；学校用于师资队伍建设，教学能力提升经费支出近100万元；各专业项目用于实验实训设备的购置与维保经费支出近801万余元；校园图书的增加投入近30万元；校园基础设施的修缮及升级改造经费近972.2万元。</w:t>
      </w:r>
    </w:p>
    <w:p w14:paraId="10471F2B">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2"/>
        <w:jc w:val="left"/>
        <w:textAlignment w:val="auto"/>
        <w:rPr>
          <w:rFonts w:hint="eastAsia" w:ascii="Times New Roman" w:hAnsi="Times New Roman" w:eastAsia="方正楷体_GBK" w:cs="Times New Roman"/>
          <w:color w:val="auto"/>
          <w:sz w:val="32"/>
          <w:szCs w:val="32"/>
          <w:lang w:val="en-US" w:eastAsia="zh-CN"/>
        </w:rPr>
      </w:pPr>
      <w:r>
        <w:rPr>
          <w:rFonts w:hint="eastAsia" w:ascii="Times New Roman" w:hAnsi="Times New Roman" w:eastAsia="方正楷体_GBK" w:cs="Times New Roman"/>
          <w:color w:val="auto"/>
          <w:sz w:val="32"/>
          <w:szCs w:val="32"/>
          <w:lang w:val="en-US" w:eastAsia="zh-CN"/>
        </w:rPr>
        <w:t>7.5.3特教中心经费情况</w:t>
      </w:r>
    </w:p>
    <w:p w14:paraId="0ACB0792">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2"/>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政策性经费落实到位，生均拨款及时足额拨付，建设项目投入充足，重点保障实训基地建设、专业建设、师资队伍建设等方面支出。经费使用严格按照财务制度执行，确保专款专用，提高资金使用效益，为学校持续稳定发展提供坚实的财力保障。本学年中职学生公用经费75万元、中职免学费12.72万元、中职国家助学金10.48万元、中职免住宿费2.235万元、中职免教科书费1.12万元，所有政策性经费均已落实发放。</w:t>
      </w:r>
    </w:p>
    <w:p w14:paraId="11D3381B">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lang w:eastAsia="zh-CN"/>
        </w:rPr>
      </w:pPr>
      <w:bookmarkStart w:id="393" w:name="_Toc17119"/>
      <w:bookmarkStart w:id="394" w:name="_Toc14569"/>
      <w:bookmarkStart w:id="395" w:name="_Toc17244"/>
      <w:bookmarkStart w:id="396" w:name="_Toc18798"/>
      <w:bookmarkStart w:id="397" w:name="_Toc2187"/>
      <w:r>
        <w:rPr>
          <w:rFonts w:hint="eastAsia"/>
          <w:lang w:val="en-US" w:eastAsia="zh-CN"/>
        </w:rPr>
        <w:t>8.</w:t>
      </w:r>
      <w:r>
        <w:t>面临挑战</w:t>
      </w:r>
      <w:bookmarkEnd w:id="393"/>
      <w:bookmarkEnd w:id="394"/>
      <w:bookmarkEnd w:id="395"/>
      <w:bookmarkEnd w:id="396"/>
      <w:bookmarkEnd w:id="397"/>
    </w:p>
    <w:p w14:paraId="51006283">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挑战1：需进一步加强党建引领，深度融合党建工作与学校各项事业，不断完善中职学校运行机制，致力于构建一个更加科学高效且透明的治理体系，统筹推进并全面提升中职学校的治理能力与水平。</w:t>
      </w:r>
    </w:p>
    <w:p w14:paraId="64B3FEF1">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挑战2：需进一步加强师资队伍建设。服务教师发展、促进全面提升。遵循“开拓发展空间、提升综合素质，关爱教师身心、引领全面发展”的核心理念，积极规划新教师成长路径，细化教师培养培训计划，强化教育教学服务保障，配套建立健全相关制度。</w:t>
      </w:r>
    </w:p>
    <w:p w14:paraId="3803FE6D">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挑战3：需进一步加强学生全面发展战略。持续深化“三个一”育人模式，包括建立100个社团、阅读100万字、跑步1000公里，培养出技能精湛、身心健康、学识渊博的复合型人才，使“南岸区毕业生”生成为具有独特魅力的品牌标识。</w:t>
      </w:r>
    </w:p>
    <w:p w14:paraId="058996CC">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挑战4：需进一步加强育人环境提升。未来五年内，力争完成中职学校食堂扩建、教师办公环境改善、学生宿舍设施升级、室内羽毛球厂修建等工程项目，持续优化办学条件，积极争取上级支持，为师生创造更加舒适的工作、学习环境。</w:t>
      </w:r>
    </w:p>
    <w:p w14:paraId="327DA9EC">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挑战5：需协调社会需求与个体需求差异。企业“招工难”“用工荒”与当代毕业生“就业难”并存的困境并未从根本上得到解决，如何统筹处理好社会需求和个体需求，营造重视技能、崇尚技能的氛围，助力技能型社会建设，是职业教育需要面对的重要问题。</w:t>
      </w:r>
    </w:p>
    <w:p w14:paraId="425F388C">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挑战6：特教中心视力障碍学生因为视觉障碍，在职业选择上范围相对狭窄，除盲人按摩诊所外，其他相关机构几乎不接纳盲人。目前，特教中心积极与各种规模盲人按摩机构沟通，力求达成深度合作关系；搭建校企合作双选会，为学生实习就业提供更多机会；开展模拟求职招聘大赛，为视障学生提供就业前培训。同时，特教中心附设中职班在业务开展的高效性等方面仍存在可提升空间，双师型教师发展还处于探索阶段，专业课教师专业素养需持续培养，学校鼓励专业课教师考取技能证书、持续加强教师实践培训。</w:t>
      </w:r>
    </w:p>
    <w:p w14:paraId="40DA57D3">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仿宋_GB2312" w:hAnsi="方正仿宋_GB2312" w:eastAsia="方正仿宋_GB2312" w:cs="方正仿宋_GB2312"/>
          <w:color w:val="000000"/>
          <w:kern w:val="0"/>
          <w:sz w:val="32"/>
          <w:szCs w:val="32"/>
          <w:highlight w:val="none"/>
          <w:lang w:val="en-US" w:eastAsia="zh-CN" w:bidi="ar"/>
        </w:rPr>
      </w:pPr>
      <w:r>
        <w:rPr>
          <w:rFonts w:hint="eastAsia" w:ascii="方正仿宋_GBK" w:hAnsi="Times New Roman" w:eastAsia="方正仿宋_GBK"/>
          <w:color w:val="000000"/>
          <w:sz w:val="32"/>
          <w:szCs w:val="32"/>
          <w:highlight w:val="none"/>
          <w:lang w:eastAsia="zh-CN"/>
        </w:rPr>
        <w:t>挑战</w:t>
      </w:r>
      <w:r>
        <w:rPr>
          <w:rFonts w:hint="eastAsia" w:ascii="方正仿宋_GBK" w:hAnsi="Times New Roman" w:eastAsia="方正仿宋_GBK"/>
          <w:color w:val="000000"/>
          <w:sz w:val="32"/>
          <w:szCs w:val="32"/>
          <w:highlight w:val="none"/>
          <w:lang w:val="en-US" w:eastAsia="zh-CN"/>
        </w:rPr>
        <w:t>7：民办学校招生难度加大。</w:t>
      </w:r>
      <w:r>
        <w:rPr>
          <w:rFonts w:hint="eastAsia" w:ascii="方正仿宋_GB2312" w:hAnsi="方正仿宋_GB2312" w:eastAsia="方正仿宋_GB2312" w:cs="方正仿宋_GB2312"/>
          <w:color w:val="000000"/>
          <w:kern w:val="0"/>
          <w:sz w:val="32"/>
          <w:szCs w:val="32"/>
          <w:highlight w:val="none"/>
          <w:lang w:val="en-US" w:eastAsia="zh-CN" w:bidi="ar"/>
        </w:rPr>
        <w:t>民办中职学校在招生方面面临着越来越大的挑战，家长和学生更倾向于选择普通高中，中职学校难以吸引更多的优质生源。营造重视技能、崇尚技能的氛围，助力技能型社会建设，是职业教育需要面对的重要问题。</w:t>
      </w:r>
      <w:bookmarkStart w:id="398" w:name="_Toc155631214"/>
      <w:bookmarkStart w:id="399" w:name="_Toc16700"/>
    </w:p>
    <w:p w14:paraId="3E7CFCC0">
      <w:pPr>
        <w:rPr>
          <w:rFonts w:hint="eastAsia" w:ascii="方正仿宋_GB2312" w:hAnsi="方正仿宋_GB2312" w:eastAsia="方正仿宋_GB2312" w:cs="方正仿宋_GB2312"/>
          <w:color w:val="000000"/>
          <w:kern w:val="0"/>
          <w:sz w:val="32"/>
          <w:szCs w:val="32"/>
          <w:highlight w:val="none"/>
          <w:lang w:val="en-US" w:eastAsia="zh-CN" w:bidi="ar"/>
        </w:rPr>
      </w:pPr>
      <w:r>
        <w:rPr>
          <w:rFonts w:hint="eastAsia" w:ascii="方正仿宋_GB2312" w:hAnsi="方正仿宋_GB2312" w:eastAsia="方正仿宋_GB2312" w:cs="方正仿宋_GB2312"/>
          <w:color w:val="000000"/>
          <w:kern w:val="0"/>
          <w:sz w:val="32"/>
          <w:szCs w:val="32"/>
          <w:highlight w:val="none"/>
          <w:lang w:val="en-US" w:eastAsia="zh-CN" w:bidi="ar"/>
        </w:rPr>
        <w:br w:type="page"/>
      </w:r>
    </w:p>
    <w:p w14:paraId="729BAE28">
      <w:pPr>
        <w:pStyle w:val="41"/>
        <w:bidi w:val="0"/>
        <w:rPr>
          <w:rFonts w:hint="eastAsia"/>
          <w:lang w:val="en-US" w:eastAsia="zh-CN"/>
        </w:rPr>
      </w:pPr>
      <w:bookmarkStart w:id="400" w:name="_Toc12023"/>
      <w:r>
        <w:rPr>
          <w:rFonts w:hint="eastAsia"/>
          <w:sz w:val="32"/>
          <w:szCs w:val="32"/>
          <w:lang w:val="en-US" w:eastAsia="zh-CN"/>
        </w:rPr>
        <w:t>案例1：德技融合，育才创新</w:t>
      </w:r>
      <w:bookmarkEnd w:id="400"/>
    </w:p>
    <w:p w14:paraId="591B27D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6C24410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240120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重庆市龙门浩职业中学校成为南岸区政府与同济大学中德职业教育项目的实施单位起，成果显著。该项目以中德职业教育与产业发展高峰论坛、重庆同济产教融合协同发展中心、重庆同济跨企业培训中心、重庆同济中德学院建设为主要载体，简称为“一论坛二中心一学院”。</w:t>
      </w:r>
    </w:p>
    <w:p w14:paraId="552E1B7F">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111525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在过去三年里，约有158名老师参加了各级各类培训。截止到2023年12月，学校的教学方法探索实践已成功试点于西部地区5所职业院校，惠及200余名教师和3000余名学生。成果得到了38所职业院校和22家企业的推广应用，吸引了大量前来交流学习的同仁。</w:t>
      </w:r>
    </w:p>
    <w:p w14:paraId="0CD8B405">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5CD9BA2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学校开发多个专业的人才培养方案、核心课程标准和教学设计，建立中德职业教育联盟西部分盟信息化平台，并与知名德企合作建设了“中德产教融合协同发展中心”。</w:t>
      </w:r>
    </w:p>
    <w:p w14:paraId="193F58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仿宋_GBK" w:cs="Times New Roman"/>
          <w:sz w:val="32"/>
          <w:szCs w:val="32"/>
          <w:lang w:val="en-US" w:eastAsia="zh-CN"/>
        </w:rPr>
        <w:t>学生成长方面，毕业生就业率高达97%以上，对口率达93.2%，双证获取率超过97%，家长和用人单位满意度分别达到90%和96%。教师方面，多名教师参加各类比赛获得了奖项，多人受聘为政府、企业、外校的技术顾问和专家。学校方面，我们建立了多个国家级和省级基地，举办了中德职业教育与产业发展高峰论坛，并接待了来自全国各地的教师和学生前来交流学习。</w:t>
      </w:r>
    </w:p>
    <w:p w14:paraId="13E1A27B">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0FD4469E">
      <w:pPr>
        <w:pStyle w:val="41"/>
        <w:bidi w:val="0"/>
        <w:rPr>
          <w:rFonts w:hint="eastAsia"/>
          <w:sz w:val="32"/>
          <w:szCs w:val="32"/>
          <w:lang w:val="en-US" w:eastAsia="zh-CN"/>
        </w:rPr>
      </w:pPr>
      <w:bookmarkStart w:id="401" w:name="_Toc12445"/>
      <w:r>
        <w:rPr>
          <w:rFonts w:hint="eastAsia"/>
          <w:sz w:val="32"/>
          <w:szCs w:val="32"/>
          <w:lang w:val="en-US" w:eastAsia="zh-CN"/>
        </w:rPr>
        <w:t>案例2：创新专业德育育人模式“8S”管理形成特色品牌</w:t>
      </w:r>
      <w:bookmarkEnd w:id="401"/>
    </w:p>
    <w:p w14:paraId="4D60A43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4580AD2C">
      <w:pPr>
        <w:pStyle w:val="13"/>
        <w:keepNext w:val="0"/>
        <w:keepLines w:val="0"/>
        <w:pageBreakBefore w:val="0"/>
        <w:widowControl w:val="0"/>
        <w:numPr>
          <w:ilvl w:val="0"/>
          <w:numId w:val="2"/>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背景目标</w:t>
      </w:r>
    </w:p>
    <w:p w14:paraId="22DB87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重庆市龙门浩职业中学校机电专业部推行“8S管理”德育创新实践，旨在通过科学的管理方法和丰富的实践活动，培养学生的良好行为习惯与强化规矩意识，助力学生成长为符合时代发展要求的高素质技能型人才。</w:t>
      </w:r>
    </w:p>
    <w:p w14:paraId="1C157279">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4D7022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德育组长从各班级中优选优秀学生组成“机治队”，并对机治队成员进行培训提出要求，每天早中晚分组对部门所有班级进行督查考核。高一新生参加国防教育，专业部统筹开展行为习惯训练；新生通过对老生行为、精气神的观察模仿，快速适应学校生活；践行“每天锻炼1小时”理念，德育组长利用16:20-17:20这个课余时间段，组织学生进行职业体能训练。鼓励学生走出教室，走进技能大赛当中来，通过大赛来增强对书本中理论知识的理解；对于违规违纪的学生，周五放学后集中起来教育，并进行劳动实践，让他们在劳动中反思错误，学会承担责任，同时增强集体荣誉感和团队协作能力。</w:t>
      </w:r>
    </w:p>
    <w:p w14:paraId="259E569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44D6A60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经过一段时间的实施，学生们违规违纪人次明显减少，逐渐养成了爱学习、爱劳动、讲文明、重修养、遵法纪、守规章的良好行为习惯。学生在各类技能竞赛和校园活动中屡获佳绩，展现了机电学子积极向上的精神风貌和扎实的专业技能。</w:t>
      </w:r>
    </w:p>
    <w:p w14:paraId="049A0956">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26" w:firstLineChars="200"/>
        <w:jc w:val="center"/>
        <w:textAlignment w:val="auto"/>
        <w:rPr>
          <w:rFonts w:ascii="方正仿宋_GBK" w:hAnsi="Times New Roman" w:eastAsia="方正仿宋_GBK" w:cs="Times New Roman"/>
          <w:color w:val="auto"/>
          <w:sz w:val="32"/>
          <w:szCs w:val="32"/>
        </w:rPr>
      </w:pPr>
      <w:r>
        <w:rPr>
          <w:rFonts w:hint="eastAsia" w:ascii="Arial" w:hAnsi="Arial" w:eastAsia="方正仿宋_GB2312" w:cs="Times New Roman"/>
          <w:b/>
          <w:color w:val="auto"/>
          <w:sz w:val="24"/>
          <w:szCs w:val="24"/>
        </w:rPr>
        <w:t>表</w:t>
      </w:r>
      <w:r>
        <w:rPr>
          <w:rFonts w:hint="eastAsia" w:ascii="Arial" w:hAnsi="Arial" w:eastAsia="方正仿宋_GB2312" w:cs="Times New Roman"/>
          <w:b/>
          <w:color w:val="auto"/>
          <w:sz w:val="24"/>
          <w:szCs w:val="24"/>
          <w:lang w:val="en-US" w:eastAsia="zh-CN"/>
        </w:rPr>
        <w:t>1</w:t>
      </w:r>
      <w:r>
        <w:rPr>
          <w:rFonts w:ascii="Arial" w:hAnsi="Arial" w:eastAsia="方正仿宋_GB2312" w:cs="Times New Roman"/>
          <w:b/>
          <w:color w:val="auto"/>
          <w:sz w:val="24"/>
          <w:szCs w:val="24"/>
        </w:rPr>
        <w:t>：龙职中机电专业部班级“8S”考核评价表</w:t>
      </w:r>
    </w:p>
    <w:tbl>
      <w:tblPr>
        <w:tblStyle w:val="31"/>
        <w:tblW w:w="85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0"/>
        <w:gridCol w:w="2283"/>
        <w:gridCol w:w="5047"/>
      </w:tblGrid>
      <w:tr w14:paraId="2EAD1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63" w:hRule="atLeast"/>
          <w:jc w:val="center"/>
        </w:trPr>
        <w:tc>
          <w:tcPr>
            <w:tcW w:w="1250" w:type="dxa"/>
            <w:noWrap w:val="0"/>
            <w:vAlign w:val="top"/>
          </w:tcPr>
          <w:p w14:paraId="0378A3C8">
            <w:pPr>
              <w:pStyle w:val="36"/>
              <w:spacing w:before="238" w:line="221" w:lineRule="auto"/>
              <w:jc w:val="center"/>
              <w:rPr>
                <w:color w:val="auto"/>
                <w:sz w:val="28"/>
                <w:szCs w:val="28"/>
              </w:rPr>
            </w:pPr>
            <w:r>
              <w:rPr>
                <w:b/>
                <w:bCs/>
                <w:color w:val="auto"/>
                <w:spacing w:val="-6"/>
                <w:sz w:val="28"/>
                <w:szCs w:val="28"/>
              </w:rPr>
              <w:t>一级指标</w:t>
            </w:r>
          </w:p>
        </w:tc>
        <w:tc>
          <w:tcPr>
            <w:tcW w:w="2283" w:type="dxa"/>
            <w:noWrap w:val="0"/>
            <w:vAlign w:val="top"/>
          </w:tcPr>
          <w:p w14:paraId="3E706376">
            <w:pPr>
              <w:pStyle w:val="36"/>
              <w:spacing w:before="238" w:line="221" w:lineRule="auto"/>
              <w:jc w:val="center"/>
              <w:rPr>
                <w:color w:val="auto"/>
                <w:sz w:val="28"/>
                <w:szCs w:val="28"/>
              </w:rPr>
            </w:pPr>
            <w:r>
              <w:rPr>
                <w:b/>
                <w:bCs/>
                <w:color w:val="auto"/>
                <w:spacing w:val="-6"/>
                <w:sz w:val="28"/>
                <w:szCs w:val="28"/>
              </w:rPr>
              <w:t>二级指标</w:t>
            </w:r>
          </w:p>
        </w:tc>
        <w:tc>
          <w:tcPr>
            <w:tcW w:w="5047" w:type="dxa"/>
            <w:tcBorders>
              <w:right w:val="single" w:color="000000" w:sz="4" w:space="0"/>
            </w:tcBorders>
            <w:noWrap w:val="0"/>
            <w:vAlign w:val="top"/>
          </w:tcPr>
          <w:p w14:paraId="3EC4C30C">
            <w:pPr>
              <w:pStyle w:val="36"/>
              <w:spacing w:before="237" w:line="219" w:lineRule="auto"/>
              <w:jc w:val="center"/>
              <w:rPr>
                <w:color w:val="auto"/>
                <w:sz w:val="28"/>
                <w:szCs w:val="28"/>
              </w:rPr>
            </w:pPr>
            <w:r>
              <w:rPr>
                <w:b/>
                <w:bCs/>
                <w:color w:val="auto"/>
                <w:spacing w:val="-4"/>
                <w:sz w:val="28"/>
                <w:szCs w:val="28"/>
              </w:rPr>
              <w:t>评价标准</w:t>
            </w:r>
          </w:p>
        </w:tc>
      </w:tr>
      <w:tr w14:paraId="3782A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305" w:hRule="atLeast"/>
          <w:jc w:val="center"/>
        </w:trPr>
        <w:tc>
          <w:tcPr>
            <w:tcW w:w="1250" w:type="dxa"/>
            <w:noWrap w:val="0"/>
            <w:vAlign w:val="top"/>
          </w:tcPr>
          <w:p w14:paraId="76EC05BF">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74B8329E">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（1S）整理</w:t>
            </w:r>
          </w:p>
          <w:p w14:paraId="03C7FEDD">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（5分）</w:t>
            </w:r>
          </w:p>
        </w:tc>
        <w:tc>
          <w:tcPr>
            <w:tcW w:w="2283" w:type="dxa"/>
            <w:noWrap w:val="0"/>
            <w:vAlign w:val="top"/>
          </w:tcPr>
          <w:p w14:paraId="5B375282">
            <w:pPr>
              <w:pStyle w:val="36"/>
              <w:keepNext w:val="0"/>
              <w:keepLines w:val="0"/>
              <w:pageBreakBefore w:val="0"/>
              <w:widowControl/>
              <w:wordWrap/>
              <w:overflowPunct/>
              <w:topLinePunct w:val="0"/>
              <w:bidi w:val="0"/>
              <w:spacing w:before="189" w:line="324" w:lineRule="auto"/>
              <w:ind w:left="114" w:right="55" w:firstLine="0"/>
              <w:jc w:val="left"/>
              <w:rPr>
                <w:color w:val="auto"/>
                <w:sz w:val="20"/>
                <w:lang w:eastAsia="zh-CN"/>
              </w:rPr>
            </w:pPr>
            <w:r>
              <w:rPr>
                <w:color w:val="auto"/>
                <w:spacing w:val="-4"/>
                <w:sz w:val="20"/>
                <w:lang w:eastAsia="zh-CN"/>
              </w:rPr>
              <w:t>1.教室内务整理（2分）</w:t>
            </w:r>
            <w:r>
              <w:rPr>
                <w:color w:val="auto"/>
                <w:spacing w:val="-3"/>
                <w:sz w:val="20"/>
                <w:lang w:eastAsia="zh-CN"/>
              </w:rPr>
              <w:t>2.实训场所整理（2分）</w:t>
            </w:r>
            <w:r>
              <w:rPr>
                <w:color w:val="auto"/>
                <w:spacing w:val="2"/>
                <w:sz w:val="20"/>
                <w:lang w:eastAsia="zh-CN"/>
              </w:rPr>
              <w:t>3.学生个人整理（1分）</w:t>
            </w:r>
          </w:p>
        </w:tc>
        <w:tc>
          <w:tcPr>
            <w:tcW w:w="5047" w:type="dxa"/>
            <w:tcBorders>
              <w:right w:val="single" w:color="000000" w:sz="4" w:space="0"/>
            </w:tcBorders>
            <w:noWrap w:val="0"/>
            <w:vAlign w:val="top"/>
          </w:tcPr>
          <w:p w14:paraId="3FF4FF87">
            <w:pPr>
              <w:pStyle w:val="36"/>
              <w:keepNext w:val="0"/>
              <w:keepLines w:val="0"/>
              <w:pageBreakBefore w:val="0"/>
              <w:widowControl/>
              <w:wordWrap/>
              <w:overflowPunct/>
              <w:topLinePunct w:val="0"/>
              <w:bidi w:val="0"/>
              <w:spacing w:before="187" w:line="221" w:lineRule="auto"/>
              <w:ind w:left="119" w:firstLine="0"/>
              <w:jc w:val="left"/>
              <w:rPr>
                <w:color w:val="auto"/>
                <w:sz w:val="20"/>
                <w:lang w:eastAsia="zh-CN"/>
              </w:rPr>
            </w:pPr>
            <w:r>
              <w:rPr>
                <w:color w:val="auto"/>
                <w:spacing w:val="-1"/>
                <w:sz w:val="20"/>
                <w:lang w:eastAsia="zh-CN"/>
              </w:rPr>
              <w:t>（1）整理教室内物品，无用物品及时清除。（2分）</w:t>
            </w:r>
          </w:p>
          <w:p w14:paraId="59BEB2A2">
            <w:pPr>
              <w:pStyle w:val="36"/>
              <w:keepNext w:val="0"/>
              <w:keepLines w:val="0"/>
              <w:pageBreakBefore w:val="0"/>
              <w:widowControl/>
              <w:wordWrap/>
              <w:overflowPunct/>
              <w:topLinePunct w:val="0"/>
              <w:bidi w:val="0"/>
              <w:spacing w:before="149" w:line="221" w:lineRule="auto"/>
              <w:ind w:left="119" w:firstLine="0"/>
              <w:jc w:val="left"/>
              <w:rPr>
                <w:color w:val="auto"/>
                <w:sz w:val="20"/>
                <w:lang w:eastAsia="zh-CN"/>
              </w:rPr>
            </w:pPr>
            <w:r>
              <w:rPr>
                <w:color w:val="auto"/>
                <w:spacing w:val="-1"/>
                <w:sz w:val="20"/>
                <w:lang w:eastAsia="zh-CN"/>
              </w:rPr>
              <w:t>（2）整理实训室内物品，无用物品及时清除。（2分）</w:t>
            </w:r>
          </w:p>
          <w:p w14:paraId="3BDAAC58">
            <w:pPr>
              <w:pStyle w:val="36"/>
              <w:keepNext w:val="0"/>
              <w:keepLines w:val="0"/>
              <w:pageBreakBefore w:val="0"/>
              <w:widowControl/>
              <w:wordWrap/>
              <w:overflowPunct/>
              <w:topLinePunct w:val="0"/>
              <w:bidi w:val="0"/>
              <w:spacing w:before="149" w:line="221" w:lineRule="auto"/>
              <w:ind w:left="119" w:firstLine="0"/>
              <w:jc w:val="left"/>
              <w:rPr>
                <w:color w:val="auto"/>
                <w:sz w:val="20"/>
              </w:rPr>
            </w:pPr>
            <w:r>
              <w:rPr>
                <w:color w:val="auto"/>
                <w:spacing w:val="1"/>
                <w:sz w:val="20"/>
                <w:lang w:eastAsia="zh-CN"/>
              </w:rPr>
              <w:t>（3）学生个人物品整理，无用物品及时清除。</w:t>
            </w:r>
            <w:r>
              <w:rPr>
                <w:color w:val="auto"/>
                <w:spacing w:val="1"/>
                <w:sz w:val="20"/>
              </w:rPr>
              <w:t>（1分）</w:t>
            </w:r>
          </w:p>
        </w:tc>
      </w:tr>
      <w:tr w14:paraId="79549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692" w:hRule="atLeast"/>
          <w:jc w:val="center"/>
        </w:trPr>
        <w:tc>
          <w:tcPr>
            <w:tcW w:w="1250" w:type="dxa"/>
            <w:noWrap w:val="0"/>
            <w:vAlign w:val="top"/>
          </w:tcPr>
          <w:p w14:paraId="0EC08BEE">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24F51E54">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29AF26E6">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（2S）整顿</w:t>
            </w:r>
          </w:p>
          <w:p w14:paraId="33BF4946">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（5分）</w:t>
            </w:r>
          </w:p>
        </w:tc>
        <w:tc>
          <w:tcPr>
            <w:tcW w:w="2283" w:type="dxa"/>
            <w:noWrap w:val="0"/>
            <w:vAlign w:val="top"/>
          </w:tcPr>
          <w:p w14:paraId="759FAA7E">
            <w:pPr>
              <w:keepNext w:val="0"/>
              <w:keepLines w:val="0"/>
              <w:pageBreakBefore w:val="0"/>
              <w:widowControl/>
              <w:wordWrap/>
              <w:overflowPunct/>
              <w:topLinePunct w:val="0"/>
              <w:bidi w:val="0"/>
              <w:spacing w:line="313" w:lineRule="auto"/>
              <w:ind w:firstLine="0"/>
              <w:jc w:val="left"/>
              <w:rPr>
                <w:color w:val="auto"/>
                <w:kern w:val="0"/>
                <w:sz w:val="20"/>
              </w:rPr>
            </w:pPr>
          </w:p>
          <w:p w14:paraId="4DB0A149">
            <w:pPr>
              <w:pStyle w:val="36"/>
              <w:keepNext w:val="0"/>
              <w:keepLines w:val="0"/>
              <w:pageBreakBefore w:val="0"/>
              <w:widowControl/>
              <w:wordWrap/>
              <w:overflowPunct/>
              <w:topLinePunct w:val="0"/>
              <w:bidi w:val="0"/>
              <w:spacing w:before="69" w:line="342" w:lineRule="auto"/>
              <w:ind w:left="114" w:right="55" w:firstLine="0"/>
              <w:jc w:val="left"/>
              <w:rPr>
                <w:color w:val="auto"/>
                <w:sz w:val="20"/>
                <w:lang w:eastAsia="zh-CN"/>
              </w:rPr>
            </w:pPr>
            <w:r>
              <w:rPr>
                <w:color w:val="auto"/>
                <w:spacing w:val="-4"/>
                <w:sz w:val="20"/>
                <w:lang w:eastAsia="zh-CN"/>
              </w:rPr>
              <w:t>1.教室内务整顿（2分）</w:t>
            </w:r>
            <w:r>
              <w:rPr>
                <w:color w:val="auto"/>
                <w:spacing w:val="-3"/>
                <w:sz w:val="20"/>
                <w:lang w:eastAsia="zh-CN"/>
              </w:rPr>
              <w:t>2.实训场所整顿（2分）</w:t>
            </w:r>
            <w:r>
              <w:rPr>
                <w:color w:val="auto"/>
                <w:spacing w:val="2"/>
                <w:sz w:val="20"/>
                <w:lang w:eastAsia="zh-CN"/>
              </w:rPr>
              <w:t>3.学生个人整顿（1分）</w:t>
            </w:r>
          </w:p>
        </w:tc>
        <w:tc>
          <w:tcPr>
            <w:tcW w:w="5047" w:type="dxa"/>
            <w:tcBorders>
              <w:right w:val="single" w:color="000000" w:sz="4" w:space="0"/>
            </w:tcBorders>
            <w:noWrap w:val="0"/>
            <w:vAlign w:val="top"/>
          </w:tcPr>
          <w:p w14:paraId="378A7BD1">
            <w:pPr>
              <w:pStyle w:val="36"/>
              <w:keepNext w:val="0"/>
              <w:keepLines w:val="0"/>
              <w:pageBreakBefore w:val="0"/>
              <w:widowControl/>
              <w:wordWrap/>
              <w:overflowPunct/>
              <w:topLinePunct w:val="0"/>
              <w:bidi w:val="0"/>
              <w:spacing w:before="180" w:line="287" w:lineRule="auto"/>
              <w:ind w:left="119" w:right="24" w:firstLine="0"/>
              <w:jc w:val="left"/>
              <w:rPr>
                <w:color w:val="auto"/>
                <w:sz w:val="20"/>
                <w:lang w:eastAsia="zh-CN"/>
              </w:rPr>
            </w:pPr>
            <w:r>
              <w:rPr>
                <w:color w:val="auto"/>
                <w:spacing w:val="-7"/>
                <w:sz w:val="20"/>
                <w:lang w:eastAsia="zh-CN"/>
              </w:rPr>
              <w:t>（1）教室内桌椅、书籍、卫生工具等摆放整齐，墙面</w:t>
            </w:r>
            <w:r>
              <w:rPr>
                <w:color w:val="auto"/>
                <w:spacing w:val="-8"/>
                <w:sz w:val="20"/>
                <w:lang w:eastAsia="zh-CN"/>
              </w:rPr>
              <w:t>美观。</w:t>
            </w:r>
            <w:r>
              <w:rPr>
                <w:color w:val="auto"/>
                <w:spacing w:val="-6"/>
                <w:sz w:val="20"/>
                <w:lang w:eastAsia="zh-CN"/>
              </w:rPr>
              <w:t>（2分）</w:t>
            </w:r>
          </w:p>
          <w:p w14:paraId="0AAE05F1">
            <w:pPr>
              <w:pStyle w:val="36"/>
              <w:keepNext w:val="0"/>
              <w:keepLines w:val="0"/>
              <w:pageBreakBefore w:val="0"/>
              <w:widowControl/>
              <w:wordWrap/>
              <w:overflowPunct/>
              <w:topLinePunct w:val="0"/>
              <w:bidi w:val="0"/>
              <w:spacing w:before="148" w:line="220" w:lineRule="auto"/>
              <w:ind w:left="119" w:firstLine="0"/>
              <w:jc w:val="left"/>
              <w:rPr>
                <w:color w:val="auto"/>
                <w:sz w:val="20"/>
                <w:lang w:eastAsia="zh-CN"/>
              </w:rPr>
            </w:pPr>
            <w:r>
              <w:rPr>
                <w:color w:val="auto"/>
                <w:spacing w:val="-1"/>
                <w:sz w:val="20"/>
                <w:lang w:eastAsia="zh-CN"/>
              </w:rPr>
              <w:t>（2）实训室内器材、工具使用后保持原状。（2分）</w:t>
            </w:r>
          </w:p>
          <w:p w14:paraId="4A332AD1">
            <w:pPr>
              <w:pStyle w:val="36"/>
              <w:keepNext w:val="0"/>
              <w:keepLines w:val="0"/>
              <w:pageBreakBefore w:val="0"/>
              <w:widowControl/>
              <w:wordWrap/>
              <w:overflowPunct/>
              <w:topLinePunct w:val="0"/>
              <w:bidi w:val="0"/>
              <w:spacing w:before="148" w:line="220" w:lineRule="auto"/>
              <w:ind w:left="119" w:firstLine="0"/>
              <w:jc w:val="left"/>
              <w:rPr>
                <w:color w:val="auto"/>
                <w:sz w:val="20"/>
              </w:rPr>
            </w:pPr>
            <w:r>
              <w:rPr>
                <w:color w:val="auto"/>
                <w:spacing w:val="1"/>
                <w:sz w:val="20"/>
                <w:lang w:eastAsia="zh-CN"/>
              </w:rPr>
              <w:t>（3）学生仪容仪表、集合集会符合学校要求。</w:t>
            </w:r>
            <w:r>
              <w:rPr>
                <w:color w:val="auto"/>
                <w:spacing w:val="1"/>
                <w:sz w:val="20"/>
              </w:rPr>
              <w:t>（1分）</w:t>
            </w:r>
          </w:p>
        </w:tc>
      </w:tr>
      <w:tr w14:paraId="0EE33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76" w:hRule="atLeast"/>
          <w:jc w:val="center"/>
        </w:trPr>
        <w:tc>
          <w:tcPr>
            <w:tcW w:w="1250" w:type="dxa"/>
            <w:noWrap w:val="0"/>
            <w:vAlign w:val="top"/>
          </w:tcPr>
          <w:p w14:paraId="02A6C5C7">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5D4704F9">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（3S）清扫</w:t>
            </w:r>
          </w:p>
          <w:p w14:paraId="10CFFCD2">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（10分）</w:t>
            </w:r>
          </w:p>
        </w:tc>
        <w:tc>
          <w:tcPr>
            <w:tcW w:w="2283" w:type="dxa"/>
            <w:noWrap w:val="0"/>
            <w:vAlign w:val="top"/>
          </w:tcPr>
          <w:p w14:paraId="52DAC63E">
            <w:pPr>
              <w:pStyle w:val="36"/>
              <w:keepNext w:val="0"/>
              <w:keepLines w:val="0"/>
              <w:pageBreakBefore w:val="0"/>
              <w:widowControl/>
              <w:wordWrap/>
              <w:overflowPunct/>
              <w:topLinePunct w:val="0"/>
              <w:bidi w:val="0"/>
              <w:spacing w:before="175" w:line="339" w:lineRule="auto"/>
              <w:ind w:left="114" w:right="472" w:firstLine="0"/>
              <w:jc w:val="left"/>
              <w:rPr>
                <w:color w:val="auto"/>
                <w:sz w:val="20"/>
                <w:lang w:eastAsia="zh-CN"/>
              </w:rPr>
            </w:pPr>
            <w:r>
              <w:rPr>
                <w:color w:val="auto"/>
                <w:spacing w:val="-5"/>
                <w:sz w:val="20"/>
                <w:lang w:eastAsia="zh-CN"/>
              </w:rPr>
              <w:t>1.教室清扫（6分）</w:t>
            </w:r>
            <w:r>
              <w:rPr>
                <w:color w:val="auto"/>
                <w:spacing w:val="-4"/>
                <w:sz w:val="20"/>
                <w:lang w:eastAsia="zh-CN"/>
              </w:rPr>
              <w:t>2.厕所清扫（2分）</w:t>
            </w:r>
          </w:p>
          <w:p w14:paraId="6F762E59">
            <w:pPr>
              <w:pStyle w:val="36"/>
              <w:keepNext w:val="0"/>
              <w:keepLines w:val="0"/>
              <w:pageBreakBefore w:val="0"/>
              <w:widowControl/>
              <w:wordWrap/>
              <w:overflowPunct/>
              <w:topLinePunct w:val="0"/>
              <w:bidi w:val="0"/>
              <w:spacing w:before="30" w:line="221" w:lineRule="auto"/>
              <w:ind w:left="116" w:firstLine="0"/>
              <w:jc w:val="left"/>
              <w:rPr>
                <w:color w:val="auto"/>
                <w:sz w:val="20"/>
              </w:rPr>
            </w:pPr>
            <w:r>
              <w:rPr>
                <w:color w:val="auto"/>
                <w:spacing w:val="-2"/>
                <w:sz w:val="20"/>
              </w:rPr>
              <w:t>3.实训场所清扫（2分）</w:t>
            </w:r>
          </w:p>
        </w:tc>
        <w:tc>
          <w:tcPr>
            <w:tcW w:w="5047" w:type="dxa"/>
            <w:tcBorders>
              <w:right w:val="single" w:color="000000" w:sz="4" w:space="0"/>
            </w:tcBorders>
            <w:noWrap w:val="0"/>
            <w:vAlign w:val="top"/>
          </w:tcPr>
          <w:p w14:paraId="36AFB602">
            <w:pPr>
              <w:pStyle w:val="36"/>
              <w:keepNext w:val="0"/>
              <w:keepLines w:val="0"/>
              <w:pageBreakBefore w:val="0"/>
              <w:widowControl/>
              <w:wordWrap/>
              <w:overflowPunct/>
              <w:topLinePunct w:val="0"/>
              <w:bidi w:val="0"/>
              <w:spacing w:before="174" w:line="221" w:lineRule="auto"/>
              <w:ind w:left="119" w:firstLine="0"/>
              <w:jc w:val="left"/>
              <w:rPr>
                <w:color w:val="auto"/>
                <w:sz w:val="20"/>
                <w:lang w:eastAsia="zh-CN"/>
              </w:rPr>
            </w:pPr>
            <w:r>
              <w:rPr>
                <w:color w:val="auto"/>
                <w:spacing w:val="-2"/>
                <w:sz w:val="20"/>
                <w:lang w:eastAsia="zh-CN"/>
              </w:rPr>
              <w:t>（1）教室每天做大扫除。（6分）</w:t>
            </w:r>
          </w:p>
          <w:p w14:paraId="798171E3">
            <w:pPr>
              <w:pStyle w:val="36"/>
              <w:keepNext w:val="0"/>
              <w:keepLines w:val="0"/>
              <w:pageBreakBefore w:val="0"/>
              <w:widowControl/>
              <w:wordWrap/>
              <w:overflowPunct/>
              <w:topLinePunct w:val="0"/>
              <w:bidi w:val="0"/>
              <w:spacing w:before="149" w:line="221" w:lineRule="auto"/>
              <w:ind w:left="119" w:firstLine="0"/>
              <w:jc w:val="left"/>
              <w:rPr>
                <w:color w:val="auto"/>
                <w:sz w:val="20"/>
                <w:lang w:eastAsia="zh-CN"/>
              </w:rPr>
            </w:pPr>
            <w:r>
              <w:rPr>
                <w:color w:val="auto"/>
                <w:spacing w:val="-2"/>
                <w:sz w:val="20"/>
                <w:lang w:eastAsia="zh-CN"/>
              </w:rPr>
              <w:t>（2）厕所值周达到学校检查标准。（2分）</w:t>
            </w:r>
          </w:p>
          <w:p w14:paraId="2F447C55">
            <w:pPr>
              <w:pStyle w:val="36"/>
              <w:keepNext w:val="0"/>
              <w:keepLines w:val="0"/>
              <w:pageBreakBefore w:val="0"/>
              <w:widowControl/>
              <w:wordWrap/>
              <w:overflowPunct/>
              <w:topLinePunct w:val="0"/>
              <w:bidi w:val="0"/>
              <w:spacing w:before="149" w:line="221" w:lineRule="auto"/>
              <w:ind w:left="119" w:firstLine="0"/>
              <w:jc w:val="left"/>
              <w:rPr>
                <w:color w:val="auto"/>
                <w:sz w:val="20"/>
              </w:rPr>
            </w:pPr>
            <w:r>
              <w:rPr>
                <w:color w:val="auto"/>
                <w:spacing w:val="-2"/>
                <w:sz w:val="20"/>
                <w:lang w:eastAsia="zh-CN"/>
              </w:rPr>
              <w:t>（3）实训结束清扫场地达标。</w:t>
            </w:r>
            <w:r>
              <w:rPr>
                <w:color w:val="auto"/>
                <w:spacing w:val="-2"/>
                <w:sz w:val="20"/>
              </w:rPr>
              <w:t>（2分）</w:t>
            </w:r>
          </w:p>
        </w:tc>
      </w:tr>
      <w:tr w14:paraId="0C512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691" w:hRule="atLeast"/>
          <w:jc w:val="center"/>
        </w:trPr>
        <w:tc>
          <w:tcPr>
            <w:tcW w:w="1250" w:type="dxa"/>
            <w:noWrap w:val="0"/>
            <w:vAlign w:val="top"/>
          </w:tcPr>
          <w:p w14:paraId="58CF2702">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50BC1ED0">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1387ECAD">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（4S）清洁</w:t>
            </w:r>
          </w:p>
          <w:p w14:paraId="63D0E39F">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（10分）</w:t>
            </w:r>
          </w:p>
        </w:tc>
        <w:tc>
          <w:tcPr>
            <w:tcW w:w="2283" w:type="dxa"/>
            <w:noWrap w:val="0"/>
            <w:vAlign w:val="top"/>
          </w:tcPr>
          <w:p w14:paraId="04B337E5">
            <w:pPr>
              <w:pStyle w:val="36"/>
              <w:keepNext w:val="0"/>
              <w:keepLines w:val="0"/>
              <w:pageBreakBefore w:val="0"/>
              <w:widowControl/>
              <w:wordWrap/>
              <w:overflowPunct/>
              <w:topLinePunct w:val="0"/>
              <w:bidi w:val="0"/>
              <w:spacing w:before="182" w:line="339" w:lineRule="auto"/>
              <w:ind w:left="114" w:right="472" w:firstLine="0"/>
              <w:jc w:val="left"/>
              <w:rPr>
                <w:color w:val="auto"/>
                <w:sz w:val="20"/>
                <w:lang w:eastAsia="zh-CN"/>
              </w:rPr>
            </w:pPr>
            <w:r>
              <w:rPr>
                <w:color w:val="auto"/>
                <w:spacing w:val="-5"/>
                <w:sz w:val="20"/>
                <w:lang w:eastAsia="zh-CN"/>
              </w:rPr>
              <w:t>1.教室清洁（5分）</w:t>
            </w:r>
            <w:r>
              <w:rPr>
                <w:color w:val="auto"/>
                <w:spacing w:val="-4"/>
                <w:sz w:val="20"/>
                <w:lang w:eastAsia="zh-CN"/>
              </w:rPr>
              <w:t>2.厕所清洁（1分）</w:t>
            </w:r>
          </w:p>
          <w:p w14:paraId="16432012">
            <w:pPr>
              <w:pStyle w:val="36"/>
              <w:keepNext w:val="0"/>
              <w:keepLines w:val="0"/>
              <w:pageBreakBefore w:val="0"/>
              <w:widowControl/>
              <w:wordWrap/>
              <w:overflowPunct/>
              <w:topLinePunct w:val="0"/>
              <w:bidi w:val="0"/>
              <w:spacing w:before="28" w:line="307" w:lineRule="auto"/>
              <w:ind w:left="111" w:right="55" w:firstLine="0"/>
              <w:jc w:val="left"/>
              <w:rPr>
                <w:color w:val="auto"/>
                <w:sz w:val="20"/>
                <w:lang w:eastAsia="zh-CN"/>
              </w:rPr>
            </w:pPr>
            <w:r>
              <w:rPr>
                <w:color w:val="auto"/>
                <w:spacing w:val="-3"/>
                <w:sz w:val="20"/>
                <w:lang w:eastAsia="zh-CN"/>
              </w:rPr>
              <w:t>3.实训场所清洁（2分）4.学生个人清洁（2分）</w:t>
            </w:r>
          </w:p>
        </w:tc>
        <w:tc>
          <w:tcPr>
            <w:tcW w:w="5047" w:type="dxa"/>
            <w:tcBorders>
              <w:right w:val="single" w:color="000000" w:sz="4" w:space="0"/>
            </w:tcBorders>
            <w:noWrap w:val="0"/>
            <w:vAlign w:val="top"/>
          </w:tcPr>
          <w:p w14:paraId="412902B5">
            <w:pPr>
              <w:pStyle w:val="36"/>
              <w:keepNext w:val="0"/>
              <w:keepLines w:val="0"/>
              <w:pageBreakBefore w:val="0"/>
              <w:widowControl/>
              <w:wordWrap/>
              <w:overflowPunct/>
              <w:topLinePunct w:val="0"/>
              <w:bidi w:val="0"/>
              <w:spacing w:before="181" w:line="221" w:lineRule="auto"/>
              <w:ind w:firstLine="0"/>
              <w:jc w:val="left"/>
              <w:rPr>
                <w:color w:val="auto"/>
                <w:sz w:val="20"/>
                <w:lang w:eastAsia="zh-CN"/>
              </w:rPr>
            </w:pPr>
            <w:r>
              <w:rPr>
                <w:color w:val="auto"/>
                <w:spacing w:val="-5"/>
                <w:sz w:val="20"/>
                <w:lang w:eastAsia="zh-CN"/>
              </w:rPr>
              <w:t>（1）教室桌椅及物品摆放保持整齐划一，无垃圾。（5分）</w:t>
            </w:r>
          </w:p>
          <w:p w14:paraId="3643629F">
            <w:pPr>
              <w:pStyle w:val="36"/>
              <w:keepNext w:val="0"/>
              <w:keepLines w:val="0"/>
              <w:pageBreakBefore w:val="0"/>
              <w:widowControl/>
              <w:wordWrap/>
              <w:overflowPunct/>
              <w:topLinePunct w:val="0"/>
              <w:bidi w:val="0"/>
              <w:spacing w:before="149" w:line="221" w:lineRule="auto"/>
              <w:ind w:left="119" w:firstLine="0"/>
              <w:jc w:val="left"/>
              <w:rPr>
                <w:color w:val="auto"/>
                <w:sz w:val="20"/>
                <w:lang w:eastAsia="zh-CN"/>
              </w:rPr>
            </w:pPr>
            <w:r>
              <w:rPr>
                <w:color w:val="auto"/>
                <w:spacing w:val="-1"/>
                <w:sz w:val="20"/>
                <w:lang w:eastAsia="zh-CN"/>
              </w:rPr>
              <w:t>（2）厕所值周每次达到学校满分标准。（1分）</w:t>
            </w:r>
          </w:p>
          <w:p w14:paraId="635D2DDD">
            <w:pPr>
              <w:pStyle w:val="36"/>
              <w:keepNext w:val="0"/>
              <w:keepLines w:val="0"/>
              <w:pageBreakBefore w:val="0"/>
              <w:widowControl/>
              <w:wordWrap/>
              <w:overflowPunct/>
              <w:topLinePunct w:val="0"/>
              <w:bidi w:val="0"/>
              <w:spacing w:before="147" w:line="221" w:lineRule="auto"/>
              <w:ind w:firstLine="0"/>
              <w:jc w:val="left"/>
              <w:rPr>
                <w:color w:val="auto"/>
                <w:sz w:val="20"/>
                <w:lang w:eastAsia="zh-CN"/>
              </w:rPr>
            </w:pPr>
            <w:r>
              <w:rPr>
                <w:color w:val="auto"/>
                <w:spacing w:val="-5"/>
                <w:sz w:val="20"/>
                <w:lang w:eastAsia="zh-CN"/>
              </w:rPr>
              <w:t>（3）实训过程保持工量具用后复位、地面无垃圾。（2分）</w:t>
            </w:r>
          </w:p>
          <w:p w14:paraId="04F4687D">
            <w:pPr>
              <w:pStyle w:val="36"/>
              <w:keepNext w:val="0"/>
              <w:keepLines w:val="0"/>
              <w:pageBreakBefore w:val="0"/>
              <w:widowControl/>
              <w:wordWrap/>
              <w:overflowPunct/>
              <w:topLinePunct w:val="0"/>
              <w:bidi w:val="0"/>
              <w:spacing w:before="149" w:line="220" w:lineRule="auto"/>
              <w:ind w:left="119" w:firstLine="0"/>
              <w:jc w:val="left"/>
              <w:rPr>
                <w:color w:val="auto"/>
                <w:sz w:val="20"/>
              </w:rPr>
            </w:pPr>
            <w:r>
              <w:rPr>
                <w:color w:val="auto"/>
                <w:spacing w:val="-1"/>
                <w:sz w:val="20"/>
                <w:lang w:eastAsia="zh-CN"/>
              </w:rPr>
              <w:t>（4）学生个人做到穿着得体、干净大方。</w:t>
            </w:r>
            <w:r>
              <w:rPr>
                <w:color w:val="auto"/>
                <w:spacing w:val="-1"/>
                <w:sz w:val="20"/>
              </w:rPr>
              <w:t>（2分）</w:t>
            </w:r>
          </w:p>
        </w:tc>
      </w:tr>
      <w:tr w14:paraId="4009D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339" w:hRule="atLeast"/>
          <w:jc w:val="center"/>
        </w:trPr>
        <w:tc>
          <w:tcPr>
            <w:tcW w:w="1250" w:type="dxa"/>
            <w:noWrap w:val="0"/>
            <w:vAlign w:val="top"/>
          </w:tcPr>
          <w:p w14:paraId="25245A51">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7D06414A">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（5S）素养</w:t>
            </w:r>
          </w:p>
          <w:p w14:paraId="0C3A2F60">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（30分）</w:t>
            </w:r>
          </w:p>
        </w:tc>
        <w:tc>
          <w:tcPr>
            <w:tcW w:w="2283" w:type="dxa"/>
            <w:noWrap w:val="0"/>
            <w:vAlign w:val="top"/>
          </w:tcPr>
          <w:p w14:paraId="5A5F45B3">
            <w:pPr>
              <w:pStyle w:val="36"/>
              <w:keepNext w:val="0"/>
              <w:keepLines w:val="0"/>
              <w:pageBreakBefore w:val="0"/>
              <w:widowControl/>
              <w:wordWrap/>
              <w:overflowPunct/>
              <w:topLinePunct w:val="0"/>
              <w:bidi w:val="0"/>
              <w:spacing w:before="206" w:line="329" w:lineRule="auto"/>
              <w:ind w:left="114" w:right="369" w:firstLine="0"/>
              <w:jc w:val="left"/>
              <w:rPr>
                <w:color w:val="auto"/>
                <w:sz w:val="20"/>
                <w:lang w:eastAsia="zh-CN"/>
              </w:rPr>
            </w:pPr>
            <w:r>
              <w:rPr>
                <w:color w:val="auto"/>
                <w:spacing w:val="-5"/>
                <w:sz w:val="20"/>
                <w:lang w:eastAsia="zh-CN"/>
              </w:rPr>
              <w:t>1.遵守校规（20分）</w:t>
            </w:r>
            <w:r>
              <w:rPr>
                <w:color w:val="auto"/>
                <w:spacing w:val="-4"/>
                <w:sz w:val="20"/>
                <w:lang w:eastAsia="zh-CN"/>
              </w:rPr>
              <w:t>2.参与活动（5分）</w:t>
            </w:r>
            <w:r>
              <w:rPr>
                <w:color w:val="auto"/>
                <w:spacing w:val="-2"/>
                <w:sz w:val="20"/>
                <w:lang w:eastAsia="zh-CN"/>
              </w:rPr>
              <w:t>3.服从管理（5分）</w:t>
            </w:r>
          </w:p>
        </w:tc>
        <w:tc>
          <w:tcPr>
            <w:tcW w:w="5047" w:type="dxa"/>
            <w:tcBorders>
              <w:right w:val="single" w:color="000000" w:sz="4" w:space="0"/>
            </w:tcBorders>
            <w:noWrap w:val="0"/>
            <w:vAlign w:val="top"/>
          </w:tcPr>
          <w:p w14:paraId="262D18E9">
            <w:pPr>
              <w:pStyle w:val="36"/>
              <w:keepNext w:val="0"/>
              <w:keepLines w:val="0"/>
              <w:pageBreakBefore w:val="0"/>
              <w:widowControl/>
              <w:wordWrap/>
              <w:overflowPunct/>
              <w:topLinePunct w:val="0"/>
              <w:bidi w:val="0"/>
              <w:spacing w:before="207" w:line="221" w:lineRule="auto"/>
              <w:ind w:left="119" w:firstLine="0"/>
              <w:jc w:val="left"/>
              <w:rPr>
                <w:color w:val="auto"/>
                <w:sz w:val="20"/>
                <w:lang w:eastAsia="zh-CN"/>
              </w:rPr>
            </w:pPr>
            <w:r>
              <w:rPr>
                <w:color w:val="auto"/>
                <w:spacing w:val="-2"/>
                <w:sz w:val="20"/>
                <w:lang w:eastAsia="zh-CN"/>
              </w:rPr>
              <w:t>（1）根据德育处考核数据评分。（20分）</w:t>
            </w:r>
          </w:p>
          <w:p w14:paraId="56F5FB49">
            <w:pPr>
              <w:pStyle w:val="36"/>
              <w:keepNext w:val="0"/>
              <w:keepLines w:val="0"/>
              <w:pageBreakBefore w:val="0"/>
              <w:widowControl/>
              <w:wordWrap/>
              <w:overflowPunct/>
              <w:topLinePunct w:val="0"/>
              <w:bidi w:val="0"/>
              <w:spacing w:before="147" w:line="221" w:lineRule="auto"/>
              <w:ind w:left="119" w:firstLine="0"/>
              <w:jc w:val="left"/>
              <w:rPr>
                <w:color w:val="auto"/>
                <w:sz w:val="20"/>
                <w:lang w:eastAsia="zh-CN"/>
              </w:rPr>
            </w:pPr>
            <w:r>
              <w:rPr>
                <w:color w:val="auto"/>
                <w:spacing w:val="-1"/>
                <w:sz w:val="20"/>
                <w:lang w:eastAsia="zh-CN"/>
              </w:rPr>
              <w:t>（2）积极参与专业部安排的活动，成效好。（5分）</w:t>
            </w:r>
          </w:p>
          <w:p w14:paraId="18165A11">
            <w:pPr>
              <w:pStyle w:val="36"/>
              <w:keepNext w:val="0"/>
              <w:keepLines w:val="0"/>
              <w:pageBreakBefore w:val="0"/>
              <w:widowControl/>
              <w:wordWrap/>
              <w:overflowPunct/>
              <w:topLinePunct w:val="0"/>
              <w:bidi w:val="0"/>
              <w:spacing w:before="149" w:line="221" w:lineRule="auto"/>
              <w:ind w:left="119" w:firstLine="0"/>
              <w:jc w:val="left"/>
              <w:rPr>
                <w:color w:val="auto"/>
                <w:sz w:val="20"/>
              </w:rPr>
            </w:pPr>
            <w:r>
              <w:rPr>
                <w:color w:val="auto"/>
                <w:spacing w:val="-1"/>
                <w:sz w:val="20"/>
                <w:lang w:eastAsia="zh-CN"/>
              </w:rPr>
              <w:t>（3）尊敬师长、孝敬父母，家长满意度高。</w:t>
            </w:r>
            <w:r>
              <w:rPr>
                <w:color w:val="auto"/>
                <w:spacing w:val="-1"/>
                <w:sz w:val="20"/>
              </w:rPr>
              <w:t>（5分）</w:t>
            </w:r>
          </w:p>
        </w:tc>
      </w:tr>
      <w:tr w14:paraId="03999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04" w:hRule="atLeast"/>
          <w:jc w:val="center"/>
        </w:trPr>
        <w:tc>
          <w:tcPr>
            <w:tcW w:w="1250" w:type="dxa"/>
            <w:noWrap w:val="0"/>
            <w:vAlign w:val="top"/>
          </w:tcPr>
          <w:p w14:paraId="67D10364">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4D745F0B">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（6S）安全</w:t>
            </w:r>
          </w:p>
          <w:p w14:paraId="36257AD4">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（15分）</w:t>
            </w:r>
          </w:p>
        </w:tc>
        <w:tc>
          <w:tcPr>
            <w:tcW w:w="2283" w:type="dxa"/>
            <w:noWrap w:val="0"/>
            <w:vAlign w:val="top"/>
          </w:tcPr>
          <w:p w14:paraId="78534DF9">
            <w:pPr>
              <w:keepNext w:val="0"/>
              <w:keepLines w:val="0"/>
              <w:pageBreakBefore w:val="0"/>
              <w:widowControl/>
              <w:wordWrap/>
              <w:overflowPunct/>
              <w:topLinePunct w:val="0"/>
              <w:bidi w:val="0"/>
              <w:spacing w:line="270" w:lineRule="auto"/>
              <w:ind w:firstLine="0"/>
              <w:jc w:val="left"/>
              <w:rPr>
                <w:color w:val="auto"/>
                <w:kern w:val="0"/>
                <w:sz w:val="20"/>
              </w:rPr>
            </w:pPr>
          </w:p>
          <w:p w14:paraId="12C438C9">
            <w:pPr>
              <w:pStyle w:val="36"/>
              <w:keepNext w:val="0"/>
              <w:keepLines w:val="0"/>
              <w:pageBreakBefore w:val="0"/>
              <w:widowControl/>
              <w:wordWrap/>
              <w:overflowPunct/>
              <w:topLinePunct w:val="0"/>
              <w:bidi w:val="0"/>
              <w:spacing w:before="68" w:line="339" w:lineRule="auto"/>
              <w:ind w:left="114" w:right="369" w:firstLine="0"/>
              <w:jc w:val="left"/>
              <w:rPr>
                <w:color w:val="auto"/>
                <w:sz w:val="20"/>
              </w:rPr>
            </w:pPr>
            <w:r>
              <w:rPr>
                <w:color w:val="auto"/>
                <w:spacing w:val="-5"/>
                <w:sz w:val="20"/>
              </w:rPr>
              <w:t>1.安全教育（5分）</w:t>
            </w:r>
            <w:r>
              <w:rPr>
                <w:color w:val="auto"/>
                <w:spacing w:val="-4"/>
                <w:sz w:val="20"/>
              </w:rPr>
              <w:t>2.安全事故（10分）</w:t>
            </w:r>
          </w:p>
        </w:tc>
        <w:tc>
          <w:tcPr>
            <w:tcW w:w="5047" w:type="dxa"/>
            <w:tcBorders>
              <w:right w:val="single" w:color="000000" w:sz="4" w:space="0"/>
            </w:tcBorders>
            <w:noWrap w:val="0"/>
            <w:vAlign w:val="top"/>
          </w:tcPr>
          <w:p w14:paraId="7D90F439">
            <w:pPr>
              <w:pStyle w:val="36"/>
              <w:keepNext w:val="0"/>
              <w:keepLines w:val="0"/>
              <w:pageBreakBefore w:val="0"/>
              <w:widowControl/>
              <w:wordWrap/>
              <w:overflowPunct/>
              <w:topLinePunct w:val="0"/>
              <w:bidi w:val="0"/>
              <w:spacing w:before="139" w:line="221" w:lineRule="auto"/>
              <w:ind w:left="119" w:firstLine="0"/>
              <w:jc w:val="left"/>
              <w:rPr>
                <w:color w:val="auto"/>
                <w:sz w:val="20"/>
                <w:lang w:eastAsia="zh-CN"/>
              </w:rPr>
            </w:pPr>
            <w:r>
              <w:rPr>
                <w:color w:val="auto"/>
                <w:spacing w:val="-1"/>
                <w:sz w:val="20"/>
                <w:lang w:eastAsia="zh-CN"/>
              </w:rPr>
              <w:t>（1）加强安全教育，提高全员安全意识。（5分）</w:t>
            </w:r>
          </w:p>
          <w:p w14:paraId="1AF19C4A">
            <w:pPr>
              <w:pStyle w:val="36"/>
              <w:keepNext w:val="0"/>
              <w:keepLines w:val="0"/>
              <w:pageBreakBefore w:val="0"/>
              <w:widowControl/>
              <w:wordWrap/>
              <w:overflowPunct/>
              <w:topLinePunct w:val="0"/>
              <w:bidi w:val="0"/>
              <w:spacing w:before="147" w:line="221" w:lineRule="auto"/>
              <w:ind w:left="119" w:firstLine="0"/>
              <w:jc w:val="left"/>
              <w:rPr>
                <w:color w:val="auto"/>
                <w:sz w:val="20"/>
                <w:lang w:eastAsia="zh-CN"/>
              </w:rPr>
            </w:pPr>
            <w:r>
              <w:rPr>
                <w:color w:val="auto"/>
                <w:spacing w:val="-2"/>
                <w:sz w:val="20"/>
                <w:lang w:eastAsia="zh-CN"/>
              </w:rPr>
              <w:t>（2）学生校内外无安全事故。（8分）</w:t>
            </w:r>
          </w:p>
          <w:p w14:paraId="3D926565">
            <w:pPr>
              <w:pStyle w:val="36"/>
              <w:keepNext w:val="0"/>
              <w:keepLines w:val="0"/>
              <w:pageBreakBefore w:val="0"/>
              <w:widowControl/>
              <w:wordWrap/>
              <w:overflowPunct/>
              <w:topLinePunct w:val="0"/>
              <w:bidi w:val="0"/>
              <w:spacing w:before="149" w:line="220" w:lineRule="auto"/>
              <w:ind w:left="119" w:firstLine="0"/>
              <w:jc w:val="left"/>
              <w:rPr>
                <w:color w:val="auto"/>
                <w:sz w:val="20"/>
              </w:rPr>
            </w:pPr>
            <w:r>
              <w:rPr>
                <w:color w:val="auto"/>
                <w:spacing w:val="-1"/>
                <w:sz w:val="20"/>
                <w:lang w:eastAsia="zh-CN"/>
              </w:rPr>
              <w:t>（3）文明上网，不传、不转、不评负面信息。</w:t>
            </w:r>
            <w:r>
              <w:rPr>
                <w:color w:val="auto"/>
                <w:spacing w:val="-1"/>
                <w:sz w:val="20"/>
              </w:rPr>
              <w:t>（2分）</w:t>
            </w:r>
          </w:p>
        </w:tc>
      </w:tr>
      <w:tr w14:paraId="7C9A0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003" w:hRule="atLeast"/>
          <w:jc w:val="center"/>
        </w:trPr>
        <w:tc>
          <w:tcPr>
            <w:tcW w:w="1250" w:type="dxa"/>
            <w:noWrap w:val="0"/>
            <w:vAlign w:val="top"/>
          </w:tcPr>
          <w:p w14:paraId="7A98909F">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171A18E6">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31A0B10D">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（7S）节约</w:t>
            </w:r>
          </w:p>
          <w:p w14:paraId="34D7B039">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（5分）</w:t>
            </w:r>
          </w:p>
        </w:tc>
        <w:tc>
          <w:tcPr>
            <w:tcW w:w="2283" w:type="dxa"/>
            <w:noWrap w:val="0"/>
            <w:vAlign w:val="top"/>
          </w:tcPr>
          <w:p w14:paraId="378FE070">
            <w:pPr>
              <w:keepNext w:val="0"/>
              <w:keepLines w:val="0"/>
              <w:pageBreakBefore w:val="0"/>
              <w:widowControl/>
              <w:wordWrap/>
              <w:overflowPunct/>
              <w:topLinePunct w:val="0"/>
              <w:bidi w:val="0"/>
              <w:spacing w:line="334" w:lineRule="auto"/>
              <w:ind w:firstLine="0"/>
              <w:jc w:val="left"/>
              <w:rPr>
                <w:color w:val="auto"/>
                <w:kern w:val="0"/>
                <w:sz w:val="20"/>
              </w:rPr>
            </w:pPr>
          </w:p>
          <w:p w14:paraId="4EA99CFE">
            <w:pPr>
              <w:keepNext w:val="0"/>
              <w:keepLines w:val="0"/>
              <w:pageBreakBefore w:val="0"/>
              <w:widowControl/>
              <w:wordWrap/>
              <w:overflowPunct/>
              <w:topLinePunct w:val="0"/>
              <w:bidi w:val="0"/>
              <w:spacing w:line="334" w:lineRule="auto"/>
              <w:ind w:firstLine="0"/>
              <w:jc w:val="left"/>
              <w:rPr>
                <w:color w:val="auto"/>
                <w:kern w:val="0"/>
                <w:sz w:val="20"/>
              </w:rPr>
            </w:pPr>
          </w:p>
          <w:p w14:paraId="7042EE33">
            <w:pPr>
              <w:pStyle w:val="36"/>
              <w:keepNext w:val="0"/>
              <w:keepLines w:val="0"/>
              <w:pageBreakBefore w:val="0"/>
              <w:widowControl/>
              <w:wordWrap/>
              <w:overflowPunct/>
              <w:topLinePunct w:val="0"/>
              <w:bidi w:val="0"/>
              <w:spacing w:before="68" w:line="340" w:lineRule="auto"/>
              <w:ind w:left="114" w:right="472" w:firstLine="0"/>
              <w:jc w:val="left"/>
              <w:rPr>
                <w:color w:val="auto"/>
                <w:sz w:val="20"/>
                <w:lang w:eastAsia="zh-CN"/>
              </w:rPr>
            </w:pPr>
            <w:r>
              <w:rPr>
                <w:color w:val="auto"/>
                <w:spacing w:val="-5"/>
                <w:sz w:val="20"/>
                <w:lang w:eastAsia="zh-CN"/>
              </w:rPr>
              <w:t>1.生活节俭（3分）</w:t>
            </w:r>
            <w:r>
              <w:rPr>
                <w:color w:val="auto"/>
                <w:spacing w:val="-4"/>
                <w:sz w:val="20"/>
                <w:lang w:eastAsia="zh-CN"/>
              </w:rPr>
              <w:t>2.公物节约（2分）</w:t>
            </w:r>
          </w:p>
        </w:tc>
        <w:tc>
          <w:tcPr>
            <w:tcW w:w="5047" w:type="dxa"/>
            <w:tcBorders>
              <w:right w:val="single" w:color="000000" w:sz="4" w:space="0"/>
            </w:tcBorders>
            <w:noWrap w:val="0"/>
            <w:vAlign w:val="top"/>
          </w:tcPr>
          <w:p w14:paraId="252A2FF1">
            <w:pPr>
              <w:pStyle w:val="36"/>
              <w:keepNext w:val="0"/>
              <w:keepLines w:val="0"/>
              <w:pageBreakBefore w:val="0"/>
              <w:widowControl/>
              <w:wordWrap/>
              <w:overflowPunct/>
              <w:topLinePunct w:val="0"/>
              <w:bidi w:val="0"/>
              <w:spacing w:before="140" w:line="286" w:lineRule="auto"/>
              <w:ind w:left="115" w:right="106" w:firstLine="0"/>
              <w:jc w:val="left"/>
              <w:rPr>
                <w:color w:val="auto"/>
                <w:sz w:val="20"/>
                <w:lang w:eastAsia="zh-CN"/>
              </w:rPr>
            </w:pPr>
            <w:r>
              <w:rPr>
                <w:color w:val="auto"/>
                <w:spacing w:val="-3"/>
                <w:sz w:val="20"/>
                <w:lang w:eastAsia="zh-CN"/>
              </w:rPr>
              <w:t>（1）营造“勤俭节约，反对浪费”的班级氛围，人人养成</w:t>
            </w:r>
            <w:r>
              <w:rPr>
                <w:color w:val="auto"/>
                <w:spacing w:val="-2"/>
                <w:sz w:val="20"/>
                <w:lang w:eastAsia="zh-CN"/>
              </w:rPr>
              <w:t>勤俭节约的好习惯。（2分）</w:t>
            </w:r>
          </w:p>
          <w:p w14:paraId="4919AC83">
            <w:pPr>
              <w:pStyle w:val="36"/>
              <w:keepNext w:val="0"/>
              <w:keepLines w:val="0"/>
              <w:pageBreakBefore w:val="0"/>
              <w:widowControl/>
              <w:wordWrap/>
              <w:overflowPunct/>
              <w:topLinePunct w:val="0"/>
              <w:bidi w:val="0"/>
              <w:spacing w:before="148" w:line="287" w:lineRule="auto"/>
              <w:ind w:left="114" w:right="96" w:firstLine="0"/>
              <w:jc w:val="left"/>
              <w:rPr>
                <w:color w:val="auto"/>
                <w:sz w:val="20"/>
                <w:lang w:eastAsia="zh-CN"/>
              </w:rPr>
            </w:pPr>
            <w:r>
              <w:rPr>
                <w:color w:val="auto"/>
                <w:spacing w:val="-2"/>
                <w:sz w:val="20"/>
                <w:lang w:eastAsia="zh-CN"/>
              </w:rPr>
              <w:t>（2）教室无人时须关闭电灯、空调等一切用电设备，</w:t>
            </w:r>
            <w:r>
              <w:rPr>
                <w:color w:val="auto"/>
                <w:spacing w:val="-3"/>
                <w:sz w:val="20"/>
                <w:lang w:eastAsia="zh-CN"/>
              </w:rPr>
              <w:t>合理</w:t>
            </w:r>
            <w:r>
              <w:rPr>
                <w:color w:val="auto"/>
                <w:spacing w:val="-2"/>
                <w:sz w:val="20"/>
                <w:lang w:eastAsia="zh-CN"/>
              </w:rPr>
              <w:t>使用空调。（2分）</w:t>
            </w:r>
          </w:p>
          <w:p w14:paraId="7B4854BB">
            <w:pPr>
              <w:pStyle w:val="36"/>
              <w:keepNext w:val="0"/>
              <w:keepLines w:val="0"/>
              <w:pageBreakBefore w:val="0"/>
              <w:widowControl/>
              <w:wordWrap/>
              <w:overflowPunct/>
              <w:topLinePunct w:val="0"/>
              <w:bidi w:val="0"/>
              <w:spacing w:before="149" w:line="220" w:lineRule="auto"/>
              <w:ind w:left="119" w:firstLine="0"/>
              <w:jc w:val="left"/>
              <w:rPr>
                <w:color w:val="auto"/>
                <w:sz w:val="20"/>
              </w:rPr>
            </w:pPr>
            <w:r>
              <w:rPr>
                <w:color w:val="auto"/>
                <w:spacing w:val="1"/>
                <w:sz w:val="20"/>
                <w:lang w:eastAsia="zh-CN"/>
              </w:rPr>
              <w:t>（3）爱护公物，节约使用实训耗材。</w:t>
            </w:r>
            <w:r>
              <w:rPr>
                <w:color w:val="auto"/>
                <w:spacing w:val="1"/>
                <w:sz w:val="20"/>
              </w:rPr>
              <w:t>（1分）</w:t>
            </w:r>
          </w:p>
        </w:tc>
      </w:tr>
      <w:tr w14:paraId="33BAC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11" w:hRule="atLeast"/>
          <w:jc w:val="center"/>
        </w:trPr>
        <w:tc>
          <w:tcPr>
            <w:tcW w:w="1250" w:type="dxa"/>
            <w:noWrap w:val="0"/>
            <w:vAlign w:val="top"/>
          </w:tcPr>
          <w:p w14:paraId="19FD6467">
            <w:pPr>
              <w:pStyle w:val="36"/>
              <w:keepNext w:val="0"/>
              <w:keepLines w:val="0"/>
              <w:pageBreakBefore w:val="0"/>
              <w:wordWrap/>
              <w:overflowPunct/>
              <w:topLinePunct w:val="0"/>
              <w:bidi w:val="0"/>
              <w:spacing w:before="68" w:line="221" w:lineRule="auto"/>
              <w:ind w:firstLine="0"/>
              <w:jc w:val="center"/>
              <w:rPr>
                <w:b/>
                <w:bCs/>
                <w:color w:val="auto"/>
                <w:spacing w:val="-3"/>
                <w:sz w:val="20"/>
              </w:rPr>
            </w:pPr>
          </w:p>
          <w:p w14:paraId="2F130D22">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（8S）学习</w:t>
            </w:r>
          </w:p>
          <w:p w14:paraId="4CBD3652">
            <w:pPr>
              <w:pStyle w:val="36"/>
              <w:keepNext w:val="0"/>
              <w:keepLines w:val="0"/>
              <w:pageBreakBefore w:val="0"/>
              <w:wordWrap/>
              <w:overflowPunct/>
              <w:topLinePunct w:val="0"/>
              <w:bidi w:val="0"/>
              <w:spacing w:before="68" w:line="221" w:lineRule="auto"/>
              <w:ind w:firstLine="0"/>
              <w:jc w:val="center"/>
              <w:rPr>
                <w:b/>
                <w:bCs/>
                <w:color w:val="auto"/>
                <w:spacing w:val="-3"/>
                <w:sz w:val="20"/>
              </w:rPr>
            </w:pPr>
            <w:r>
              <w:rPr>
                <w:b/>
                <w:bCs/>
                <w:color w:val="auto"/>
                <w:spacing w:val="-3"/>
                <w:sz w:val="20"/>
              </w:rPr>
              <w:t>（20分）</w:t>
            </w:r>
          </w:p>
        </w:tc>
        <w:tc>
          <w:tcPr>
            <w:tcW w:w="2283" w:type="dxa"/>
            <w:noWrap w:val="0"/>
            <w:vAlign w:val="top"/>
          </w:tcPr>
          <w:p w14:paraId="75F92175">
            <w:pPr>
              <w:pStyle w:val="36"/>
              <w:keepNext w:val="0"/>
              <w:keepLines w:val="0"/>
              <w:pageBreakBefore w:val="0"/>
              <w:numPr>
                <w:ilvl w:val="0"/>
                <w:numId w:val="3"/>
              </w:numPr>
              <w:wordWrap/>
              <w:overflowPunct/>
              <w:topLinePunct w:val="0"/>
              <w:bidi w:val="0"/>
              <w:spacing w:before="143" w:line="310" w:lineRule="auto"/>
              <w:ind w:left="114" w:right="369" w:firstLine="0"/>
              <w:jc w:val="left"/>
              <w:rPr>
                <w:color w:val="auto"/>
                <w:sz w:val="20"/>
                <w:lang w:eastAsia="zh-CN"/>
              </w:rPr>
            </w:pPr>
            <w:r>
              <w:rPr>
                <w:color w:val="auto"/>
                <w:spacing w:val="-5"/>
                <w:sz w:val="20"/>
                <w:lang w:eastAsia="zh-CN"/>
              </w:rPr>
              <w:t>学习习惯（5分）</w:t>
            </w:r>
            <w:r>
              <w:rPr>
                <w:color w:val="auto"/>
                <w:spacing w:val="-4"/>
                <w:sz w:val="20"/>
                <w:lang w:eastAsia="zh-CN"/>
              </w:rPr>
              <w:t>2.课堂学习（10分）</w:t>
            </w:r>
            <w:r>
              <w:rPr>
                <w:color w:val="auto"/>
                <w:spacing w:val="-2"/>
                <w:sz w:val="20"/>
                <w:lang w:eastAsia="zh-CN"/>
              </w:rPr>
              <w:t>3.实习实训（5分）</w:t>
            </w:r>
          </w:p>
        </w:tc>
        <w:tc>
          <w:tcPr>
            <w:tcW w:w="5047" w:type="dxa"/>
            <w:tcBorders>
              <w:right w:val="single" w:color="000000" w:sz="4" w:space="0"/>
            </w:tcBorders>
            <w:noWrap w:val="0"/>
            <w:vAlign w:val="top"/>
          </w:tcPr>
          <w:p w14:paraId="26FADD92">
            <w:pPr>
              <w:pStyle w:val="36"/>
              <w:keepNext w:val="0"/>
              <w:keepLines w:val="0"/>
              <w:pageBreakBefore w:val="0"/>
              <w:wordWrap/>
              <w:overflowPunct/>
              <w:topLinePunct w:val="0"/>
              <w:bidi w:val="0"/>
              <w:spacing w:before="141" w:line="221" w:lineRule="auto"/>
              <w:ind w:left="119" w:firstLine="0"/>
              <w:jc w:val="left"/>
              <w:rPr>
                <w:color w:val="auto"/>
                <w:sz w:val="20"/>
                <w:lang w:eastAsia="zh-CN"/>
              </w:rPr>
            </w:pPr>
            <w:r>
              <w:rPr>
                <w:color w:val="auto"/>
                <w:spacing w:val="-2"/>
                <w:sz w:val="20"/>
                <w:lang w:eastAsia="zh-CN"/>
              </w:rPr>
              <w:t>（1）班级有良好的学习风气。（5分）</w:t>
            </w:r>
          </w:p>
          <w:p w14:paraId="78251FFC">
            <w:pPr>
              <w:pStyle w:val="36"/>
              <w:keepNext w:val="0"/>
              <w:keepLines w:val="0"/>
              <w:pageBreakBefore w:val="0"/>
              <w:wordWrap/>
              <w:overflowPunct/>
              <w:topLinePunct w:val="0"/>
              <w:bidi w:val="0"/>
              <w:spacing w:before="150" w:line="219" w:lineRule="auto"/>
              <w:ind w:left="119" w:firstLine="0"/>
              <w:jc w:val="left"/>
              <w:rPr>
                <w:color w:val="auto"/>
                <w:sz w:val="20"/>
                <w:lang w:eastAsia="zh-CN"/>
              </w:rPr>
            </w:pPr>
            <w:r>
              <w:rPr>
                <w:color w:val="auto"/>
                <w:spacing w:val="-1"/>
                <w:sz w:val="20"/>
                <w:lang w:eastAsia="zh-CN"/>
              </w:rPr>
              <w:t>（2）任课教师根据学生表现评价。（10</w:t>
            </w:r>
            <w:r>
              <w:rPr>
                <w:color w:val="auto"/>
                <w:spacing w:val="-2"/>
                <w:sz w:val="20"/>
                <w:lang w:eastAsia="zh-CN"/>
              </w:rPr>
              <w:t>分）</w:t>
            </w:r>
          </w:p>
          <w:p w14:paraId="12CE978F">
            <w:pPr>
              <w:pStyle w:val="36"/>
              <w:keepNext w:val="0"/>
              <w:keepLines w:val="0"/>
              <w:pageBreakBefore w:val="0"/>
              <w:wordWrap/>
              <w:overflowPunct/>
              <w:topLinePunct w:val="0"/>
              <w:bidi w:val="0"/>
              <w:spacing w:before="151" w:line="219" w:lineRule="auto"/>
              <w:ind w:left="119" w:firstLine="0"/>
              <w:jc w:val="left"/>
              <w:rPr>
                <w:color w:val="auto"/>
                <w:sz w:val="20"/>
              </w:rPr>
            </w:pPr>
            <w:r>
              <w:rPr>
                <w:color w:val="auto"/>
                <w:spacing w:val="-1"/>
                <w:sz w:val="20"/>
                <w:lang w:eastAsia="zh-CN"/>
              </w:rPr>
              <w:t>（3）实习指导教师根据学生表现评价。</w:t>
            </w:r>
            <w:r>
              <w:rPr>
                <w:color w:val="auto"/>
                <w:spacing w:val="-1"/>
                <w:sz w:val="20"/>
              </w:rPr>
              <w:t>（5分）</w:t>
            </w:r>
          </w:p>
        </w:tc>
      </w:tr>
    </w:tbl>
    <w:p w14:paraId="2BDB23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7A736B97">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7D78FE6D">
      <w:pPr>
        <w:pStyle w:val="41"/>
        <w:bidi w:val="0"/>
        <w:rPr>
          <w:rFonts w:hint="eastAsia"/>
          <w:sz w:val="32"/>
          <w:szCs w:val="32"/>
          <w:lang w:val="en-US" w:eastAsia="zh-CN"/>
        </w:rPr>
      </w:pPr>
      <w:bookmarkStart w:id="402" w:name="_Toc5590"/>
      <w:r>
        <w:rPr>
          <w:rFonts w:hint="eastAsia"/>
          <w:sz w:val="32"/>
          <w:szCs w:val="32"/>
          <w:lang w:val="en-US" w:eastAsia="zh-CN"/>
        </w:rPr>
        <w:t>案例3：示范引领，联合教研促集团发展</w:t>
      </w:r>
      <w:bookmarkEnd w:id="402"/>
    </w:p>
    <w:p w14:paraId="1F135A4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386DDE5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5193EF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作为国家示范中职、高水平建设学校、重庆“双优”A类学校，学校在职业教育集团中具有重要的引领发展的任务。</w:t>
      </w:r>
    </w:p>
    <w:p w14:paraId="67B1A88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7A5CAA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依托教师教学能力大赛、南岸区风华杯、中高职对口升学、大思政一体化建设等平台，重庆市龙门浩职业中学校与集团内机电工程高级技工学校、建筑工程职业学院长期开展联合教研，定期组织教学观摩、专题讲座、学术研讨、集体教研、同课异构等活动，同时，还通过网络平台，开展在线教研、远程培训等活动。</w:t>
      </w:r>
    </w:p>
    <w:p w14:paraId="3DF9F1B4">
      <w:pPr>
        <w:pStyle w:val="18"/>
        <w:bidi w:val="0"/>
      </w:pPr>
      <w:bookmarkStart w:id="403" w:name="_Toc12192"/>
      <w:r>
        <w:rPr>
          <w:rFonts w:ascii="方正仿宋_GBK" w:hAnsi="Times New Roman" w:eastAsia="方正仿宋_GBK"/>
          <w:color w:val="auto"/>
          <w:sz w:val="32"/>
          <w:szCs w:val="32"/>
        </w:rPr>
        <w:drawing>
          <wp:anchor distT="0" distB="0" distL="114300" distR="114300" simplePos="0" relativeHeight="251665408" behindDoc="0" locked="0" layoutInCell="1" allowOverlap="1">
            <wp:simplePos x="0" y="0"/>
            <wp:positionH relativeFrom="column">
              <wp:posOffset>106680</wp:posOffset>
            </wp:positionH>
            <wp:positionV relativeFrom="paragraph">
              <wp:posOffset>74295</wp:posOffset>
            </wp:positionV>
            <wp:extent cx="5451475" cy="3275965"/>
            <wp:effectExtent l="0" t="0" r="15875" b="635"/>
            <wp:wrapTopAndBottom/>
            <wp:docPr id="102" name="图片 21" descr="D:\新建文件夹\2024.11.27职业教育质量年度报告\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 descr="D:\新建文件夹\2024.11.27职业教育质量年度报告\图片\2.jpg"/>
                    <pic:cNvPicPr>
                      <a:picLocks noChangeAspect="1"/>
                    </pic:cNvPicPr>
                  </pic:nvPicPr>
                  <pic:blipFill>
                    <a:blip r:embed="rId9"/>
                    <a:stretch>
                      <a:fillRect/>
                    </a:stretch>
                  </pic:blipFill>
                  <pic:spPr>
                    <a:xfrm>
                      <a:off x="0" y="0"/>
                      <a:ext cx="5451475" cy="3275965"/>
                    </a:xfrm>
                    <a:prstGeom prst="rect">
                      <a:avLst/>
                    </a:prstGeom>
                    <a:noFill/>
                    <a:ln>
                      <a:noFill/>
                    </a:ln>
                  </pic:spPr>
                </pic:pic>
              </a:graphicData>
            </a:graphic>
          </wp:anchor>
        </w:drawing>
      </w:r>
      <w:r>
        <w:rPr>
          <w:rFonts w:hint="eastAsia"/>
        </w:rPr>
        <w:t>图</w:t>
      </w:r>
      <w:r>
        <w:t>1</w:t>
      </w:r>
      <w:r>
        <w:rPr>
          <w:rFonts w:hint="eastAsia"/>
          <w:lang w:val="en-US" w:eastAsia="zh-CN"/>
        </w:rPr>
        <w:t xml:space="preserve"> </w:t>
      </w:r>
      <w:r>
        <w:rPr>
          <w:rFonts w:hint="eastAsia"/>
        </w:rPr>
        <w:t>中高职对接校际联合研讨会</w:t>
      </w:r>
      <w:bookmarkEnd w:id="403"/>
    </w:p>
    <w:p w14:paraId="363A1B84">
      <w:pPr>
        <w:pStyle w:val="18"/>
        <w:bidi w:val="0"/>
      </w:pPr>
      <w:bookmarkStart w:id="404" w:name="_Toc12350"/>
      <w:r>
        <w:rPr>
          <w:rFonts w:ascii="方正仿宋_GBK" w:hAnsi="Times New Roman" w:eastAsia="方正仿宋_GBK"/>
          <w:color w:val="auto"/>
          <w:sz w:val="32"/>
          <w:szCs w:val="32"/>
        </w:rPr>
        <w:drawing>
          <wp:anchor distT="0" distB="0" distL="114300" distR="114300" simplePos="0" relativeHeight="251666432" behindDoc="0" locked="0" layoutInCell="1" allowOverlap="1">
            <wp:simplePos x="0" y="0"/>
            <wp:positionH relativeFrom="column">
              <wp:posOffset>120015</wp:posOffset>
            </wp:positionH>
            <wp:positionV relativeFrom="paragraph">
              <wp:posOffset>3810</wp:posOffset>
            </wp:positionV>
            <wp:extent cx="5370830" cy="3162300"/>
            <wp:effectExtent l="0" t="0" r="1270" b="0"/>
            <wp:wrapTopAndBottom/>
            <wp:docPr id="96" name="图片 22" descr="D:\新建文件夹\2024.11.27职业教育质量年度报告\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 descr="D:\新建文件夹\2024.11.27职业教育质量年度报告\图片\3.jpg"/>
                    <pic:cNvPicPr>
                      <a:picLocks noChangeAspect="1"/>
                    </pic:cNvPicPr>
                  </pic:nvPicPr>
                  <pic:blipFill>
                    <a:blip r:embed="rId10"/>
                    <a:stretch>
                      <a:fillRect/>
                    </a:stretch>
                  </pic:blipFill>
                  <pic:spPr>
                    <a:xfrm>
                      <a:off x="0" y="0"/>
                      <a:ext cx="5370830" cy="3162300"/>
                    </a:xfrm>
                    <a:prstGeom prst="rect">
                      <a:avLst/>
                    </a:prstGeom>
                    <a:noFill/>
                    <a:ln>
                      <a:noFill/>
                    </a:ln>
                  </pic:spPr>
                </pic:pic>
              </a:graphicData>
            </a:graphic>
          </wp:anchor>
        </w:drawing>
      </w:r>
      <w:r>
        <w:rPr>
          <w:rFonts w:hint="eastAsia"/>
        </w:rPr>
        <w:t>图</w:t>
      </w:r>
      <w:r>
        <w:t>2</w:t>
      </w:r>
      <w:r>
        <w:rPr>
          <w:rFonts w:hint="eastAsia"/>
          <w:lang w:val="en-US" w:eastAsia="zh-CN"/>
        </w:rPr>
        <w:t xml:space="preserve"> </w:t>
      </w:r>
      <w:r>
        <w:rPr>
          <w:rFonts w:hint="eastAsia"/>
        </w:rPr>
        <w:t>区域美术教师联合教研</w:t>
      </w:r>
      <w:bookmarkEnd w:id="404"/>
    </w:p>
    <w:p w14:paraId="54ED0B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在“以强带弱”的过程中，通过龙门讲堂选派优秀教师开展讲座、座谈会等形式，分享教师技能大赛成功经验，进行深入研讨与交流，互学互鉴。选派国家级教学能力比赛一二等奖获得者前往机电工程高级技工学校分享大赛经验，指导对方参赛选手。</w:t>
      </w:r>
    </w:p>
    <w:p w14:paraId="58D882DE">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64638C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仿宋_GBK" w:cs="Times New Roman"/>
          <w:sz w:val="32"/>
          <w:szCs w:val="32"/>
          <w:lang w:val="en-US" w:eastAsia="zh-CN"/>
        </w:rPr>
        <w:t>在</w:t>
      </w:r>
      <w:r>
        <w:rPr>
          <w:rFonts w:hint="default" w:ascii="Times New Roman" w:hAnsi="Times New Roman" w:eastAsia="方正仿宋_GBK" w:cs="Times New Roman"/>
          <w:sz w:val="32"/>
          <w:szCs w:val="32"/>
          <w:lang w:val="en-US" w:eastAsia="zh-CN"/>
        </w:rPr>
        <w:t>资源整合和共享</w:t>
      </w:r>
      <w:r>
        <w:rPr>
          <w:rFonts w:hint="eastAsia" w:ascii="Times New Roman" w:hAnsi="Times New Roman" w:eastAsia="方正仿宋_GBK" w:cs="Times New Roman"/>
          <w:sz w:val="32"/>
          <w:szCs w:val="32"/>
          <w:lang w:val="en-US" w:eastAsia="zh-CN"/>
        </w:rPr>
        <w:t>中</w:t>
      </w:r>
      <w:r>
        <w:rPr>
          <w:rFonts w:hint="default" w:ascii="Times New Roman" w:hAnsi="Times New Roman" w:eastAsia="方正仿宋_GBK" w:cs="Times New Roman"/>
          <w:sz w:val="32"/>
          <w:szCs w:val="32"/>
          <w:lang w:val="en-US" w:eastAsia="zh-CN"/>
        </w:rPr>
        <w:t>，成员校的教育质量</w:t>
      </w:r>
      <w:r>
        <w:rPr>
          <w:rFonts w:hint="eastAsia" w:ascii="Times New Roman" w:hAnsi="Times New Roman" w:eastAsia="方正仿宋_GBK" w:cs="Times New Roman"/>
          <w:sz w:val="32"/>
          <w:szCs w:val="32"/>
          <w:lang w:val="en-US" w:eastAsia="zh-CN"/>
        </w:rPr>
        <w:t>得到提高</w:t>
      </w:r>
      <w:r>
        <w:rPr>
          <w:rFonts w:hint="default" w:ascii="Times New Roman" w:hAnsi="Times New Roman" w:eastAsia="方正仿宋_GBK" w:cs="Times New Roman"/>
          <w:sz w:val="32"/>
          <w:szCs w:val="32"/>
          <w:lang w:val="en-US" w:eastAsia="zh-CN"/>
        </w:rPr>
        <w:t>，实现了优质教育资源的辐射和引领作用。通过良好的互动交流和同台竞技，教师队伍的整体素质得到了提升，涌现出了一批优秀的骨干教师和学科带头人。成员校在各自区域内的影响力也得到了提升，为教育集团的发展奠定了坚实基础。</w:t>
      </w:r>
    </w:p>
    <w:p w14:paraId="129BFEFB">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14B9B196">
      <w:pPr>
        <w:pStyle w:val="41"/>
        <w:bidi w:val="0"/>
        <w:rPr>
          <w:rFonts w:hint="eastAsia" w:ascii="Times New Roman" w:hAnsi="Times New Roman" w:eastAsia="方正小标宋_GBK" w:cs="Times New Roman"/>
          <w:bCs/>
          <w:color w:val="auto"/>
          <w:spacing w:val="0"/>
          <w:kern w:val="44"/>
          <w:sz w:val="32"/>
          <w:szCs w:val="32"/>
          <w:shd w:val="clear" w:color="auto" w:fill="FFFFFF"/>
          <w:lang w:val="en-US" w:eastAsia="zh-CN" w:bidi="ar-SA"/>
        </w:rPr>
      </w:pPr>
      <w:bookmarkStart w:id="405" w:name="_Toc19740"/>
      <w:r>
        <w:rPr>
          <w:rFonts w:hint="eastAsia"/>
          <w:sz w:val="32"/>
          <w:szCs w:val="32"/>
          <w:lang w:val="en-US" w:eastAsia="zh-CN"/>
        </w:rPr>
        <w:t>案例4：基于钉钉数字基座建设中职智慧校园的实践案例</w:t>
      </w:r>
      <w:bookmarkEnd w:id="405"/>
    </w:p>
    <w:p w14:paraId="4E4AEB4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bCs/>
          <w:color w:val="auto"/>
          <w:spacing w:val="0"/>
          <w:kern w:val="44"/>
          <w:szCs w:val="44"/>
          <w:shd w:val="clear" w:color="auto" w:fill="FFFFFF"/>
          <w:lang w:val="en-US" w:eastAsia="zh-CN" w:bidi="ar-SA"/>
        </w:rPr>
      </w:pPr>
    </w:p>
    <w:p w14:paraId="69AB317A">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2BA5BFF6">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教育部于2023年7月下发了关于加快推进现代职业教育体系建设改革重点任务的通知，计划到2025年建成300所左右全国性信息化标杆学校。重庆市龙门浩职业中学校将建设“智慧龙职”作为打造信息化标杆学校的主要抓手，面临的首要问题便是从PC时代向移动互联网时代转型。</w:t>
      </w:r>
    </w:p>
    <w:p w14:paraId="7C4DB879">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034755D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基于钉钉开放的技术底座能力，重庆市龙门浩职业中学校实现了一个端口集成所有应用服务入口，整合了校内多款应用接入到“智慧龙职”，建成了一个统一综合服务门户。</w:t>
      </w:r>
    </w:p>
    <w:p w14:paraId="25B1D82E">
      <w:pPr>
        <w:spacing w:line="360" w:lineRule="auto"/>
        <w:jc w:val="center"/>
        <w:rPr>
          <w:rFonts w:ascii="华文仿宋" w:hAnsi="华文仿宋" w:eastAsia="华文仿宋"/>
          <w:color w:val="auto"/>
        </w:rPr>
      </w:pPr>
      <w:r>
        <w:rPr>
          <w:rFonts w:ascii="华文仿宋" w:hAnsi="华文仿宋" w:eastAsia="华文仿宋"/>
          <w:color w:val="auto"/>
        </w:rPr>
        <w:drawing>
          <wp:inline distT="0" distB="0" distL="114300" distR="114300">
            <wp:extent cx="4559300" cy="2551430"/>
            <wp:effectExtent l="0" t="0" r="12700" b="1270"/>
            <wp:docPr id="101" name="图片 23" descr="D:\新建文件夹\2024.11.27职业教育质量年度报告\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 descr="D:\新建文件夹\2024.11.27职业教育质量年度报告\图片\4.jpg"/>
                    <pic:cNvPicPr>
                      <a:picLocks noChangeAspect="1"/>
                    </pic:cNvPicPr>
                  </pic:nvPicPr>
                  <pic:blipFill>
                    <a:blip r:embed="rId11"/>
                    <a:stretch>
                      <a:fillRect/>
                    </a:stretch>
                  </pic:blipFill>
                  <pic:spPr>
                    <a:xfrm>
                      <a:off x="0" y="0"/>
                      <a:ext cx="4559300" cy="2551430"/>
                    </a:xfrm>
                    <a:prstGeom prst="rect">
                      <a:avLst/>
                    </a:prstGeom>
                    <a:noFill/>
                    <a:ln>
                      <a:noFill/>
                    </a:ln>
                  </pic:spPr>
                </pic:pic>
              </a:graphicData>
            </a:graphic>
          </wp:inline>
        </w:drawing>
      </w:r>
    </w:p>
    <w:p w14:paraId="0733B659">
      <w:pPr>
        <w:pStyle w:val="18"/>
        <w:bidi w:val="0"/>
      </w:pPr>
      <w:bookmarkStart w:id="406" w:name="_Toc19909"/>
      <w:r>
        <w:rPr>
          <w:rFonts w:hint="eastAsia"/>
        </w:rPr>
        <w:t>图</w:t>
      </w:r>
      <w:r>
        <w:t>3</w:t>
      </w:r>
      <w:r>
        <w:rPr>
          <w:rFonts w:hint="eastAsia"/>
          <w:lang w:val="en-US" w:eastAsia="zh-CN"/>
        </w:rPr>
        <w:t xml:space="preserve"> </w:t>
      </w:r>
      <w:r>
        <w:rPr>
          <w:rFonts w:hint="eastAsia"/>
        </w:rPr>
        <w:t>钉钉“智慧龙职”PC版界面</w:t>
      </w:r>
      <w:bookmarkEnd w:id="406"/>
    </w:p>
    <w:p w14:paraId="63E8D3C7">
      <w:pPr>
        <w:spacing w:line="360" w:lineRule="auto"/>
        <w:jc w:val="center"/>
        <w:rPr>
          <w:rFonts w:ascii="华文仿宋" w:hAnsi="华文仿宋" w:eastAsia="华文仿宋"/>
          <w:color w:val="auto"/>
        </w:rPr>
      </w:pPr>
      <w:r>
        <w:rPr>
          <w:rFonts w:ascii="华文仿宋" w:hAnsi="华文仿宋" w:eastAsia="华文仿宋"/>
          <w:color w:val="auto"/>
        </w:rPr>
        <w:drawing>
          <wp:inline distT="0" distB="0" distL="114300" distR="114300">
            <wp:extent cx="4306570" cy="3025140"/>
            <wp:effectExtent l="0" t="0" r="17780" b="3810"/>
            <wp:docPr id="95" name="图片 24" descr="D:\新建文件夹\2024.11.27职业教育质量年度报告\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descr="D:\新建文件夹\2024.11.27职业教育质量年度报告\图片\5.jpg"/>
                    <pic:cNvPicPr>
                      <a:picLocks noChangeAspect="1"/>
                    </pic:cNvPicPr>
                  </pic:nvPicPr>
                  <pic:blipFill>
                    <a:blip r:embed="rId12"/>
                    <a:stretch>
                      <a:fillRect/>
                    </a:stretch>
                  </pic:blipFill>
                  <pic:spPr>
                    <a:xfrm>
                      <a:off x="0" y="0"/>
                      <a:ext cx="4306570" cy="3025140"/>
                    </a:xfrm>
                    <a:prstGeom prst="rect">
                      <a:avLst/>
                    </a:prstGeom>
                    <a:noFill/>
                    <a:ln>
                      <a:noFill/>
                    </a:ln>
                  </pic:spPr>
                </pic:pic>
              </a:graphicData>
            </a:graphic>
          </wp:inline>
        </w:drawing>
      </w:r>
    </w:p>
    <w:p w14:paraId="123F46F8">
      <w:pPr>
        <w:pStyle w:val="18"/>
        <w:bidi w:val="0"/>
      </w:pPr>
      <w:bookmarkStart w:id="407" w:name="_Toc19965"/>
      <w:r>
        <w:rPr>
          <w:rFonts w:hint="eastAsia"/>
        </w:rPr>
        <w:t>图</w:t>
      </w:r>
      <w:r>
        <w:t>4</w:t>
      </w:r>
      <w:r>
        <w:rPr>
          <w:rFonts w:hint="eastAsia"/>
          <w:lang w:val="en-US" w:eastAsia="zh-CN"/>
        </w:rPr>
        <w:t xml:space="preserve"> </w:t>
      </w:r>
      <w:r>
        <w:rPr>
          <w:rFonts w:hint="eastAsia"/>
        </w:rPr>
        <w:t>钉钉“智慧龙职”移动端界面</w:t>
      </w:r>
      <w:bookmarkEnd w:id="407"/>
    </w:p>
    <w:p w14:paraId="4C1D663A">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31B3B2B6">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仿宋_GBK" w:cs="Times New Roman"/>
          <w:bCs w:val="0"/>
          <w:spacing w:val="0"/>
          <w:kern w:val="2"/>
          <w:sz w:val="32"/>
          <w:szCs w:val="32"/>
          <w:lang w:val="en-US" w:eastAsia="zh-CN" w:bidi="ar-SA"/>
        </w:rPr>
        <w:t>作为中等职业学校，能用于信息化建设投入的资金相对有限，所以学校采用与区内多所学校一起探索“一校创新，多校应用”的教育信息化应用创新成果转化机制的众创模式，充分借助阿里巴巴、科大讯飞、中移物联网等在区头部企业的技术力量，积极投身于职业教育数字化转型的事业。通过引入阿里云基础设施能力以及钉钉产品能力作为数字基座，采用“大平台+微应用”的开发模式，既继承了阿里云及钉钉大平台的先进性、安全性和稳定性，又可以根据学校实际情况进行微应用开发，实现微服务和产品轻量化、校本化，低成本的构建了智慧校园平台。</w:t>
      </w:r>
    </w:p>
    <w:p w14:paraId="27D08D7F">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5E7901AF">
      <w:pPr>
        <w:pStyle w:val="41"/>
        <w:bidi w:val="0"/>
        <w:rPr>
          <w:rFonts w:hint="eastAsia"/>
          <w:sz w:val="32"/>
          <w:szCs w:val="32"/>
          <w:lang w:val="en-US" w:eastAsia="zh-CN"/>
        </w:rPr>
      </w:pPr>
      <w:bookmarkStart w:id="408" w:name="_Toc16938"/>
      <w:r>
        <w:rPr>
          <w:rFonts w:hint="eastAsia"/>
          <w:sz w:val="32"/>
          <w:szCs w:val="32"/>
          <w:lang w:val="en-US" w:eastAsia="zh-CN"/>
        </w:rPr>
        <w:t>案例5：链动全员阅读书香溢美龙职</w:t>
      </w:r>
      <w:bookmarkEnd w:id="408"/>
    </w:p>
    <w:p w14:paraId="480316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1D96251E">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4E2FCF15">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为响应国家关于建设学习型社会的号召，</w:t>
      </w: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学校积极投身于“书香校园”建设，以培养学生终身学习能力和文化素养为目标，培养具备广阔视野和创新精神的新一代工匠型技术技能人才。</w:t>
      </w:r>
    </w:p>
    <w:p w14:paraId="4E220AE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1D2B5889">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textAlignment w:val="auto"/>
        <w:rPr>
          <w:rFonts w:hint="eastAsia" w:ascii="Times New Roman" w:hAnsi="Times New Roman" w:eastAsia="方正仿宋_GBK" w:cs="Times New Roman"/>
          <w:bCs w:val="0"/>
          <w:spacing w:val="0"/>
          <w:kern w:val="2"/>
          <w:sz w:val="32"/>
          <w:szCs w:val="32"/>
          <w:lang w:val="en-US" w:eastAsia="zh-CN" w:bidi="ar-SA"/>
        </w:rPr>
      </w:pPr>
      <w:r>
        <w:drawing>
          <wp:anchor distT="0" distB="0" distL="114300" distR="114300" simplePos="0" relativeHeight="251663360" behindDoc="0" locked="0" layoutInCell="1" allowOverlap="1">
            <wp:simplePos x="0" y="0"/>
            <wp:positionH relativeFrom="column">
              <wp:posOffset>610870</wp:posOffset>
            </wp:positionH>
            <wp:positionV relativeFrom="paragraph">
              <wp:posOffset>1907540</wp:posOffset>
            </wp:positionV>
            <wp:extent cx="4444365" cy="2736215"/>
            <wp:effectExtent l="0" t="0" r="13335" b="6985"/>
            <wp:wrapTopAndBottom/>
            <wp:docPr id="100" name="图片 1982065163" descr="D:\新建文件夹\2024.11.27职业教育质量年度报告\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982065163" descr="D:\新建文件夹\2024.11.27职业教育质量年度报告\图片\6.jpg"/>
                    <pic:cNvPicPr>
                      <a:picLocks noChangeAspect="1"/>
                    </pic:cNvPicPr>
                  </pic:nvPicPr>
                  <pic:blipFill>
                    <a:blip r:embed="rId13"/>
                    <a:stretch>
                      <a:fillRect/>
                    </a:stretch>
                  </pic:blipFill>
                  <pic:spPr>
                    <a:xfrm>
                      <a:off x="0" y="0"/>
                      <a:ext cx="4444365" cy="2736215"/>
                    </a:xfrm>
                    <a:prstGeom prst="rect">
                      <a:avLst/>
                    </a:prstGeom>
                    <a:noFill/>
                    <a:ln>
                      <a:noFill/>
                    </a:ln>
                  </pic:spPr>
                </pic:pic>
              </a:graphicData>
            </a:graphic>
          </wp:anchor>
        </w:drawing>
      </w:r>
      <w:r>
        <w:rPr>
          <w:rFonts w:hint="eastAsia" w:ascii="Times New Roman" w:hAnsi="Times New Roman" w:eastAsia="方正仿宋_GBK" w:cs="Times New Roman"/>
          <w:bCs w:val="0"/>
          <w:spacing w:val="0"/>
          <w:kern w:val="2"/>
          <w:sz w:val="32"/>
          <w:szCs w:val="32"/>
          <w:lang w:val="en-US" w:eastAsia="zh-CN" w:bidi="ar-SA"/>
        </w:rPr>
        <w:t>上下联动，全员覆盖，建立了三级读书联动机制，教学分管校级领导牵头，教学管理与教师发展中心统筹，校长发起并成立“浩阅书社”。实施覆盖全校师生的读书主题教育展演、社团读书、教师读书共同体、班本读书、个人读书等形式多样、类别丰富的读书活动。</w:t>
      </w:r>
    </w:p>
    <w:p w14:paraId="00C7AF6D">
      <w:pPr>
        <w:pStyle w:val="18"/>
        <w:bidi w:val="0"/>
      </w:pPr>
      <w:bookmarkStart w:id="409" w:name="_Toc27092"/>
      <w:r>
        <w:rPr>
          <w:rFonts w:hint="eastAsia"/>
        </w:rPr>
        <w:t>图</w:t>
      </w:r>
      <w:r>
        <w:t>5</w:t>
      </w:r>
      <w:r>
        <w:rPr>
          <w:rFonts w:hint="eastAsia"/>
          <w:lang w:val="en-US" w:eastAsia="zh-CN"/>
        </w:rPr>
        <w:t xml:space="preserve"> </w:t>
      </w:r>
      <w:r>
        <w:rPr>
          <w:rFonts w:hint="eastAsia"/>
        </w:rPr>
        <w:t>校长在“浩阅”书社进行首场读书分享</w:t>
      </w:r>
      <w:bookmarkEnd w:id="409"/>
    </w:p>
    <w:p w14:paraId="624F8C27">
      <w:pPr>
        <w:spacing w:line="560" w:lineRule="exact"/>
        <w:ind w:firstLine="1500" w:firstLineChars="500"/>
        <w:jc w:val="left"/>
        <w:rPr>
          <w:rFonts w:hint="eastAsia" w:ascii="Arial" w:hAnsi="Arial" w:eastAsia="方正仿宋_GB2312"/>
          <w:color w:val="auto"/>
          <w:sz w:val="30"/>
        </w:rPr>
      </w:pPr>
      <w:r>
        <w:rPr>
          <w:rFonts w:ascii="Arial" w:hAnsi="Arial" w:eastAsia="方正仿宋_GB2312"/>
          <w:color w:val="auto"/>
          <w:sz w:val="30"/>
        </w:rPr>
        <w:drawing>
          <wp:anchor distT="0" distB="0" distL="114300" distR="114300" simplePos="0" relativeHeight="251662336" behindDoc="0" locked="0" layoutInCell="1" allowOverlap="1">
            <wp:simplePos x="0" y="0"/>
            <wp:positionH relativeFrom="margin">
              <wp:posOffset>453390</wp:posOffset>
            </wp:positionH>
            <wp:positionV relativeFrom="paragraph">
              <wp:posOffset>-154305</wp:posOffset>
            </wp:positionV>
            <wp:extent cx="4684395" cy="2787015"/>
            <wp:effectExtent l="0" t="0" r="1905" b="13335"/>
            <wp:wrapTopAndBottom/>
            <wp:docPr id="93" name="图片 15" descr="D:\新建文件夹\2024.11.27职业教育质量年度报告\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descr="D:\新建文件夹\2024.11.27职业教育质量年度报告\图片\6.jpg"/>
                    <pic:cNvPicPr>
                      <a:picLocks noChangeAspect="1"/>
                    </pic:cNvPicPr>
                  </pic:nvPicPr>
                  <pic:blipFill>
                    <a:blip r:embed="rId14"/>
                    <a:stretch>
                      <a:fillRect/>
                    </a:stretch>
                  </pic:blipFill>
                  <pic:spPr>
                    <a:xfrm>
                      <a:off x="0" y="0"/>
                      <a:ext cx="4684395" cy="2787015"/>
                    </a:xfrm>
                    <a:prstGeom prst="rect">
                      <a:avLst/>
                    </a:prstGeom>
                    <a:noFill/>
                    <a:ln>
                      <a:noFill/>
                    </a:ln>
                  </pic:spPr>
                </pic:pic>
              </a:graphicData>
            </a:graphic>
          </wp:anchor>
        </w:drawing>
      </w:r>
      <w:r>
        <w:rPr>
          <w:rFonts w:hint="eastAsia" w:ascii="Arial" w:hAnsi="Arial" w:eastAsia="方正仿宋_GB2312"/>
          <w:color w:val="auto"/>
          <w:sz w:val="30"/>
        </w:rPr>
        <w:t>图</w:t>
      </w:r>
      <w:r>
        <w:rPr>
          <w:rFonts w:ascii="Arial" w:hAnsi="Arial" w:eastAsia="方正仿宋_GB2312"/>
          <w:color w:val="auto"/>
          <w:sz w:val="30"/>
        </w:rPr>
        <w:t>6</w:t>
      </w:r>
      <w:r>
        <w:rPr>
          <w:rFonts w:hint="eastAsia" w:ascii="Arial" w:hAnsi="Arial" w:eastAsia="方正仿宋_GB2312"/>
          <w:color w:val="auto"/>
          <w:sz w:val="30"/>
          <w:lang w:val="en-US" w:eastAsia="zh-CN"/>
        </w:rPr>
        <w:t xml:space="preserve"> </w:t>
      </w:r>
      <w:r>
        <w:rPr>
          <w:rFonts w:hint="eastAsia" w:ascii="Arial" w:hAnsi="Arial" w:eastAsia="方正仿宋_GB2312"/>
          <w:color w:val="auto"/>
          <w:sz w:val="30"/>
        </w:rPr>
        <w:t>为班级学生代表发放统一阅读书籍</w:t>
      </w:r>
    </w:p>
    <w:p w14:paraId="5633DE6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方正仿宋_GBK" w:eastAsia="方正仿宋_GBK"/>
          <w:color w:val="auto"/>
          <w:sz w:val="32"/>
          <w:szCs w:val="32"/>
        </w:rPr>
        <w:t>除了环境优美的图书室，还在教学楼各个区域建立</w:t>
      </w:r>
      <w:r>
        <w:rPr>
          <w:rFonts w:hint="eastAsia" w:ascii="方正仿宋_GBK" w:eastAsia="方正仿宋_GBK"/>
          <w:color w:val="auto"/>
          <w:sz w:val="32"/>
          <w:szCs w:val="32"/>
          <w:lang w:val="en-US" w:eastAsia="zh-CN"/>
        </w:rPr>
        <w:t>了</w:t>
      </w:r>
      <w:r>
        <w:rPr>
          <w:rFonts w:hint="eastAsia" w:ascii="方正仿宋_GBK" w:eastAsia="方正仿宋_GBK"/>
          <w:color w:val="auto"/>
          <w:sz w:val="32"/>
          <w:szCs w:val="32"/>
        </w:rPr>
        <w:t>“待饭未来”读书角，实行班级图书漂流制度，利用数字化阅读</w:t>
      </w:r>
      <w:r>
        <w:rPr>
          <w:rFonts w:hint="eastAsia" w:ascii="Times New Roman" w:hAnsi="Times New Roman" w:eastAsia="方正仿宋_GBK" w:cs="Times New Roman"/>
          <w:bCs w:val="0"/>
          <w:spacing w:val="0"/>
          <w:kern w:val="2"/>
          <w:sz w:val="32"/>
          <w:szCs w:val="32"/>
          <w:lang w:val="en-US" w:eastAsia="zh-CN" w:bidi="ar-SA"/>
        </w:rPr>
        <w:t>平台，满足师生广泛阅读和资源共享，利用公众号和广播站推荐每周好书（文），丰富师生课余的阅读素材，方便师生随时线下阅读和在线阅读、资源检索。</w:t>
      </w:r>
    </w:p>
    <w:p w14:paraId="6C4ACAC8">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drawing>
          <wp:anchor distT="0" distB="0" distL="114300" distR="114300" simplePos="0" relativeHeight="251667456" behindDoc="0" locked="0" layoutInCell="1" allowOverlap="1">
            <wp:simplePos x="0" y="0"/>
            <wp:positionH relativeFrom="column">
              <wp:posOffset>490220</wp:posOffset>
            </wp:positionH>
            <wp:positionV relativeFrom="paragraph">
              <wp:posOffset>26670</wp:posOffset>
            </wp:positionV>
            <wp:extent cx="4669790" cy="2704465"/>
            <wp:effectExtent l="0" t="0" r="16510" b="635"/>
            <wp:wrapNone/>
            <wp:docPr id="103" name="图片 25" descr="D:\新建文件夹\2024.11.27职业教育质量年度报告\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descr="D:\新建文件夹\2024.11.27职业教育质量年度报告\图片\7.jpg"/>
                    <pic:cNvPicPr>
                      <a:picLocks noChangeAspect="1"/>
                    </pic:cNvPicPr>
                  </pic:nvPicPr>
                  <pic:blipFill>
                    <a:blip r:embed="rId15"/>
                    <a:stretch>
                      <a:fillRect/>
                    </a:stretch>
                  </pic:blipFill>
                  <pic:spPr>
                    <a:xfrm>
                      <a:off x="0" y="0"/>
                      <a:ext cx="4669790" cy="2704465"/>
                    </a:xfrm>
                    <a:prstGeom prst="rect">
                      <a:avLst/>
                    </a:prstGeom>
                    <a:noFill/>
                    <a:ln>
                      <a:noFill/>
                    </a:ln>
                  </pic:spPr>
                </pic:pic>
              </a:graphicData>
            </a:graphic>
          </wp:anchor>
        </w:drawing>
      </w:r>
    </w:p>
    <w:p w14:paraId="31EF8DB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p>
    <w:p w14:paraId="1A62175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p>
    <w:p w14:paraId="309EFF4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p>
    <w:p w14:paraId="284DE62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p>
    <w:p w14:paraId="4489BB5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p>
    <w:p w14:paraId="6FF18AB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p>
    <w:p w14:paraId="5D6B3682">
      <w:pPr>
        <w:pStyle w:val="18"/>
        <w:bidi w:val="0"/>
        <w:rPr>
          <w:rFonts w:hint="eastAsia"/>
        </w:rPr>
      </w:pPr>
      <w:bookmarkStart w:id="410" w:name="_Toc1821"/>
      <w:r>
        <w:rPr>
          <w:rFonts w:hint="eastAsia"/>
        </w:rPr>
        <w:t>图</w:t>
      </w:r>
      <w:r>
        <w:t>7</w:t>
      </w:r>
      <w:r>
        <w:rPr>
          <w:rFonts w:hint="eastAsia"/>
          <w:lang w:val="en-US" w:eastAsia="zh-CN"/>
        </w:rPr>
        <w:t xml:space="preserve"> </w:t>
      </w:r>
      <w:r>
        <w:rPr>
          <w:rFonts w:hint="eastAsia"/>
        </w:rPr>
        <w:t>学校“待饭未来”图书角</w:t>
      </w:r>
      <w:bookmarkEnd w:id="410"/>
    </w:p>
    <w:p w14:paraId="128E5AA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6D9384B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在“书香校园”建设中，通过系统谋划、环境创设、活动融合、团队建设、品牌活动和数字资源利用等多方面的实践，已经基本上覆盖了全校各类人员，目前已形成稳定的阅读工作开展团队和机制。</w:t>
      </w:r>
    </w:p>
    <w:p w14:paraId="551B4CB8">
      <w:pPr>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br w:type="page"/>
      </w:r>
    </w:p>
    <w:p w14:paraId="594C00F1">
      <w:pPr>
        <w:pStyle w:val="41"/>
        <w:bidi w:val="0"/>
        <w:rPr>
          <w:rFonts w:hint="eastAsia"/>
          <w:sz w:val="32"/>
          <w:szCs w:val="32"/>
          <w:lang w:val="en-US" w:eastAsia="zh-CN"/>
        </w:rPr>
      </w:pPr>
      <w:bookmarkStart w:id="411" w:name="_Toc25426"/>
      <w:r>
        <w:rPr>
          <w:rFonts w:hint="eastAsia"/>
          <w:sz w:val="32"/>
          <w:szCs w:val="32"/>
          <w:lang w:val="en-US" w:eastAsia="zh-CN"/>
        </w:rPr>
        <w:t>案例6：书香浸润校园阅读启迪未来</w:t>
      </w:r>
      <w:bookmarkEnd w:id="411"/>
    </w:p>
    <w:p w14:paraId="576BF1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2C87D6F5">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4B40C4C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学校为学生创造各种成才机会，通过读书节、技能节、艺术节、体育节“四节”来对学生进行美好教育，通过健全人格来促进多样成才。</w:t>
      </w:r>
    </w:p>
    <w:p w14:paraId="5E06875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全民阅读已成为国家战略和社会共识，党的二十大报告更是在关于“推进文化自信自强，铸就社会主义文化新辉煌”的表述中，明确提出了要“深化全民阅读活动”。龙门浩职业在学校通过丰富多彩的读书节活动，引导学生参与阅读，爱上阅读。</w:t>
      </w:r>
    </w:p>
    <w:p w14:paraId="5D1DA686">
      <w:pPr>
        <w:spacing w:line="360" w:lineRule="auto"/>
        <w:jc w:val="center"/>
        <w:rPr>
          <w:color w:val="auto"/>
          <w:sz w:val="24"/>
        </w:rPr>
      </w:pPr>
      <w:r>
        <w:rPr>
          <w:color w:val="auto"/>
          <w:sz w:val="24"/>
        </w:rPr>
        <w:drawing>
          <wp:inline distT="0" distB="0" distL="114300" distR="114300">
            <wp:extent cx="5370830" cy="3354705"/>
            <wp:effectExtent l="0" t="0" r="1270" b="17145"/>
            <wp:docPr id="97" name="图片 26" descr="D:\新建文件夹\2024.11.27职业教育质量年度报告\图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descr="D:\新建文件夹\2024.11.27职业教育质量年度报告\图片\15.jpg"/>
                    <pic:cNvPicPr>
                      <a:picLocks noChangeAspect="1"/>
                    </pic:cNvPicPr>
                  </pic:nvPicPr>
                  <pic:blipFill>
                    <a:blip r:embed="rId16"/>
                    <a:stretch>
                      <a:fillRect/>
                    </a:stretch>
                  </pic:blipFill>
                  <pic:spPr>
                    <a:xfrm>
                      <a:off x="0" y="0"/>
                      <a:ext cx="5370830" cy="3354705"/>
                    </a:xfrm>
                    <a:prstGeom prst="rect">
                      <a:avLst/>
                    </a:prstGeom>
                    <a:noFill/>
                    <a:ln>
                      <a:noFill/>
                    </a:ln>
                  </pic:spPr>
                </pic:pic>
              </a:graphicData>
            </a:graphic>
          </wp:inline>
        </w:drawing>
      </w:r>
    </w:p>
    <w:p w14:paraId="1224E909">
      <w:pPr>
        <w:pStyle w:val="18"/>
        <w:bidi w:val="0"/>
      </w:pPr>
      <w:bookmarkStart w:id="412" w:name="_Toc20450"/>
      <w:r>
        <w:rPr>
          <w:rFonts w:hint="eastAsia"/>
        </w:rPr>
        <w:t>图</w:t>
      </w:r>
      <w:r>
        <w:rPr>
          <w:rFonts w:hint="eastAsia"/>
          <w:lang w:val="en-US" w:eastAsia="zh-CN"/>
        </w:rPr>
        <w:t xml:space="preserve">8 </w:t>
      </w:r>
      <w:r>
        <w:rPr>
          <w:rFonts w:hint="eastAsia"/>
        </w:rPr>
        <w:t>学校图书角实拍</w:t>
      </w:r>
      <w:bookmarkEnd w:id="412"/>
    </w:p>
    <w:p w14:paraId="5A6268E5">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343731C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在校园的31个读书角，书籍如同繁星点缀着学生成长的道路。每周四，一位教师引领学生沉浸在阅读的世界，通过十余次精心策划的大阅读活动，全校学生共同探索知识的海洋。这里，不仅是阅读的空间，更是心灵交流的场所；每一次翻页，都是梦想与现实的对话。</w:t>
      </w:r>
    </w:p>
    <w:p w14:paraId="21A58FC2">
      <w:pPr>
        <w:spacing w:line="360" w:lineRule="auto"/>
        <w:jc w:val="center"/>
        <w:rPr>
          <w:color w:val="auto"/>
          <w:sz w:val="24"/>
        </w:rPr>
      </w:pPr>
      <w:r>
        <w:rPr>
          <w:color w:val="auto"/>
          <w:sz w:val="24"/>
        </w:rPr>
        <w:drawing>
          <wp:inline distT="0" distB="0" distL="114300" distR="114300">
            <wp:extent cx="5370830" cy="4803775"/>
            <wp:effectExtent l="0" t="0" r="1270" b="15875"/>
            <wp:docPr id="91" name="图片 27" descr="D:\新建文件夹\2024.11.27职业教育质量年度报告\图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7" descr="D:\新建文件夹\2024.11.27职业教育质量年度报告\图片\16.jpg"/>
                    <pic:cNvPicPr>
                      <a:picLocks noChangeAspect="1"/>
                    </pic:cNvPicPr>
                  </pic:nvPicPr>
                  <pic:blipFill>
                    <a:blip r:embed="rId17"/>
                    <a:stretch>
                      <a:fillRect/>
                    </a:stretch>
                  </pic:blipFill>
                  <pic:spPr>
                    <a:xfrm>
                      <a:off x="0" y="0"/>
                      <a:ext cx="5370830" cy="4803775"/>
                    </a:xfrm>
                    <a:prstGeom prst="rect">
                      <a:avLst/>
                    </a:prstGeom>
                    <a:noFill/>
                    <a:ln>
                      <a:noFill/>
                    </a:ln>
                  </pic:spPr>
                </pic:pic>
              </a:graphicData>
            </a:graphic>
          </wp:inline>
        </w:drawing>
      </w:r>
    </w:p>
    <w:p w14:paraId="5C17850E">
      <w:pPr>
        <w:pStyle w:val="18"/>
        <w:bidi w:val="0"/>
        <w:rPr>
          <w:rFonts w:hint="eastAsia"/>
        </w:rPr>
      </w:pPr>
      <w:bookmarkStart w:id="413" w:name="_Toc11745"/>
      <w:r>
        <w:rPr>
          <w:rFonts w:hint="eastAsia"/>
        </w:rPr>
        <w:t>图</w:t>
      </w:r>
      <w:r>
        <w:rPr>
          <w:rFonts w:hint="eastAsia"/>
          <w:lang w:val="en-US" w:eastAsia="zh-CN"/>
        </w:rPr>
        <w:t xml:space="preserve">9 </w:t>
      </w:r>
      <w:r>
        <w:rPr>
          <w:rFonts w:hint="eastAsia"/>
        </w:rPr>
        <w:t>师生大阅读活动</w:t>
      </w:r>
      <w:bookmarkEnd w:id="413"/>
    </w:p>
    <w:p w14:paraId="59DAEBCF">
      <w:pPr>
        <w:spacing w:line="360" w:lineRule="auto"/>
        <w:ind w:firstLine="2850" w:firstLineChars="950"/>
        <w:rPr>
          <w:rFonts w:hint="eastAsia" w:ascii="Arial" w:hAnsi="Arial" w:eastAsia="方正仿宋_GB2312"/>
          <w:color w:val="auto"/>
          <w:sz w:val="30"/>
        </w:rPr>
      </w:pPr>
    </w:p>
    <w:p w14:paraId="789ABE1A">
      <w:pPr>
        <w:pStyle w:val="29"/>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仿宋_GBK" w:hAnsi="Times New Roman" w:eastAsia="方正仿宋_GBK"/>
          <w:color w:val="auto"/>
          <w:sz w:val="32"/>
          <w:szCs w:val="32"/>
        </w:rPr>
      </w:pPr>
      <w:r>
        <w:rPr>
          <w:rFonts w:hint="eastAsia" w:ascii="Times New Roman" w:hAnsi="Times New Roman" w:eastAsia="方正仿宋_GBK" w:cs="Times New Roman"/>
          <w:bCs w:val="0"/>
          <w:spacing w:val="0"/>
          <w:kern w:val="2"/>
          <w:sz w:val="32"/>
          <w:szCs w:val="32"/>
          <w:lang w:val="en-US" w:eastAsia="zh-CN" w:bidi="ar-SA"/>
        </w:rPr>
        <w:t>读书节活动清单：“奋进新征程，建功新时代”学习宣传党的二十大精神主题书展、校长推荐好书、师生共读共学《职业教育发展史》、“阅读悦美”为主题的学生读书分享、“青春心向党，少年正当时”征文活动、“永远跟党走，共筑中国梦”班级阅读、“一书一会书香校园”读书心得展示系列、“走进书中经典——人人爱演戏”微视频比赛</w:t>
      </w:r>
    </w:p>
    <w:p w14:paraId="5A6C567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2F5A70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仿宋_GBK" w:cs="Times New Roman"/>
          <w:bCs w:val="0"/>
          <w:spacing w:val="0"/>
          <w:kern w:val="2"/>
          <w:sz w:val="32"/>
          <w:szCs w:val="32"/>
          <w:lang w:val="en-US" w:eastAsia="zh-CN" w:bidi="ar-SA"/>
        </w:rPr>
        <w:t>简练而充满活力的活动形式，让学生们养成了热爱阅读的习惯，激发了无限的想象力和创造力。书香弥漫的角落里，孩子们学会思考、分享和成长，构建起通往未来的桥梁。这不仅丰富了课余生活，更为每个孩子的未来铺垫了坚实的基石。</w:t>
      </w:r>
    </w:p>
    <w:p w14:paraId="190DCE4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0E819B1D">
      <w:pPr>
        <w:pStyle w:val="41"/>
        <w:bidi w:val="0"/>
        <w:rPr>
          <w:rFonts w:hint="eastAsia"/>
          <w:sz w:val="32"/>
          <w:szCs w:val="32"/>
          <w:lang w:val="en-US" w:eastAsia="zh-CN"/>
        </w:rPr>
      </w:pPr>
      <w:bookmarkStart w:id="414" w:name="_Toc15503"/>
      <w:bookmarkStart w:id="415" w:name="_Toc8382"/>
      <w:bookmarkStart w:id="416" w:name="_Toc19478"/>
      <w:r>
        <w:rPr>
          <w:rFonts w:hint="eastAsia"/>
          <w:sz w:val="32"/>
          <w:szCs w:val="32"/>
          <w:lang w:val="en-US" w:eastAsia="zh-CN"/>
        </w:rPr>
        <w:t>案例7：产教融合贯通培养校企携手共话发展</w:t>
      </w:r>
      <w:bookmarkEnd w:id="414"/>
      <w:bookmarkEnd w:id="415"/>
      <w:bookmarkEnd w:id="416"/>
    </w:p>
    <w:p w14:paraId="2E9D128C">
      <w:pPr>
        <w:pageBreakBefore w:val="0"/>
        <w:kinsoku/>
        <w:wordWrap/>
        <w:overflowPunct/>
        <w:topLinePunct w:val="0"/>
        <w:autoSpaceDE/>
        <w:autoSpaceDN/>
        <w:bidi w:val="0"/>
        <w:spacing w:line="360" w:lineRule="auto"/>
        <w:jc w:val="center"/>
        <w:textAlignment w:val="auto"/>
        <w:outlineLvl w:val="9"/>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782E121E">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59C1485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学校与金夫人实业有限公司在摄影专业开展校企合作，打造摄影实训基地。企业与学校老师共同参与，参照企业标准制定摄影棚设计方案，双方共同投入打造真实工作场景。打破校园与行业的环境壁垒。</w:t>
      </w:r>
    </w:p>
    <w:p w14:paraId="399A9BB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学校与企业合作的14年中，参与到学校的招生、教学、实习、就业每个环节。入校即入职，上课即上班，实现学校学生到企业员工的无缝转换。校企双方共同教研，着力提升学生专业技能和员工素养。</w:t>
      </w:r>
    </w:p>
    <w:p w14:paraId="729B61F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169B9AC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企业将真实订单项目带入学校，企业导师与学校教师共同以订单项目进行教学演练，让学生第一时间接触行业先进技术、市场变化。真实订单的实战课程促使学生主动接触行业，调动学生学习积极性。</w:t>
      </w:r>
    </w:p>
    <w:p w14:paraId="109C710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0FA6212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生在校获得先进行业技术技能，就业率高达94%；教师技能水平提高，在学校就能获取行业经验。产教融合培养出的学生能完全符合企业的需求。大大降低试错成本，让企业血液健康循环。校企共研市级规划课题《中职生实施创业教育探索与实践研究——以数码设计专业为例》；校企共同开发的《手机摄影》课程，入选重庆市百门优质社区课程。</w:t>
      </w:r>
    </w:p>
    <w:p w14:paraId="74E26A5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学校摄影专业每年接待各级各类参观学习达300人次。摄影专业师生对市内社区、单位开展摄影培训、服务，辐射累计超过9000人次。</w:t>
      </w:r>
    </w:p>
    <w:p w14:paraId="7E719728">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5BD0648B">
      <w:pPr>
        <w:pStyle w:val="41"/>
        <w:bidi w:val="0"/>
        <w:rPr>
          <w:sz w:val="32"/>
          <w:szCs w:val="32"/>
        </w:rPr>
      </w:pPr>
      <w:bookmarkStart w:id="417" w:name="_Toc5932"/>
      <w:bookmarkStart w:id="418" w:name="_Toc1415"/>
      <w:bookmarkStart w:id="419" w:name="_Toc9893"/>
      <w:r>
        <w:rPr>
          <w:rFonts w:hint="eastAsia"/>
          <w:sz w:val="32"/>
          <w:szCs w:val="32"/>
          <w:lang w:val="en-US" w:eastAsia="zh-CN"/>
        </w:rPr>
        <w:t>案例8：中职智能制造现代产业学院建设与创新实践</w:t>
      </w:r>
      <w:bookmarkEnd w:id="417"/>
      <w:bookmarkEnd w:id="418"/>
      <w:bookmarkEnd w:id="419"/>
    </w:p>
    <w:p w14:paraId="08551EBA">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Cs w:val="32"/>
          <w:shd w:val="clear" w:color="auto" w:fill="FFFFFF"/>
          <w:lang w:val="en-US" w:eastAsia="zh-CN" w:bidi="ar-SA"/>
        </w:rPr>
      </w:pPr>
      <w:r>
        <w:rPr>
          <w:rFonts w:hint="eastAsia" w:ascii="Times New Roman" w:hAnsi="Times New Roman" w:cs="Times New Roman"/>
          <w:bCs w:val="0"/>
          <w:color w:val="auto"/>
          <w:spacing w:val="0"/>
          <w:kern w:val="2"/>
          <w:szCs w:val="32"/>
          <w:shd w:val="clear" w:color="auto" w:fill="FFFFFF"/>
          <w:lang w:val="en-US" w:eastAsia="zh-CN" w:bidi="ar-SA"/>
        </w:rPr>
        <w:t>一、背景目标</w:t>
      </w:r>
    </w:p>
    <w:p w14:paraId="229D60B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近年来，重庆市龙门浩职业中学校积极响应教育部有关文件精神及市委、市政府着力打造“33618”现代制造业集群体系建设号召，借助重庆装备制造业、工科特色及产学研深度融合三大优势，成立中职智能制造现代产业学院（以下简称学院），推动人才培养与产业需求紧密对接。</w:t>
      </w:r>
    </w:p>
    <w:p w14:paraId="6EB04DD8">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7737D81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重庆市龙门浩职业中学校与重庆机电集团下属智能制造有限公司、增材制造有限公司和盟讯科技有限公司共建智能制造现代产业学院，形成“1+3+2”政校行企多元协同的产业学院建设模式，即1所中职校+3个企业+2个协同部门（政府、行业协会）。实行理事会领导下的院长负责制。</w:t>
      </w:r>
    </w:p>
    <w:p w14:paraId="68855381">
      <w:pPr>
        <w:pStyle w:val="18"/>
        <w:bidi w:val="0"/>
      </w:pPr>
      <w:bookmarkStart w:id="420" w:name="_Toc23661"/>
      <w:r>
        <w:rPr>
          <w:color w:val="auto"/>
        </w:rPr>
        <w:drawing>
          <wp:anchor distT="0" distB="0" distL="114300" distR="114300" simplePos="0" relativeHeight="251668480" behindDoc="0" locked="0" layoutInCell="1" allowOverlap="1">
            <wp:simplePos x="0" y="0"/>
            <wp:positionH relativeFrom="column">
              <wp:posOffset>202565</wp:posOffset>
            </wp:positionH>
            <wp:positionV relativeFrom="paragraph">
              <wp:posOffset>28575</wp:posOffset>
            </wp:positionV>
            <wp:extent cx="5411470" cy="3137535"/>
            <wp:effectExtent l="0" t="0" r="17780" b="5715"/>
            <wp:wrapTopAndBottom/>
            <wp:docPr id="104" name="图片 28" descr="D:\新建文件夹\2024.11.27职业教育质量年度报告\图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descr="D:\新建文件夹\2024.11.27职业教育质量年度报告\图片\17.jpg"/>
                    <pic:cNvPicPr>
                      <a:picLocks noChangeAspect="1"/>
                    </pic:cNvPicPr>
                  </pic:nvPicPr>
                  <pic:blipFill>
                    <a:blip r:embed="rId18"/>
                    <a:stretch>
                      <a:fillRect/>
                    </a:stretch>
                  </pic:blipFill>
                  <pic:spPr>
                    <a:xfrm>
                      <a:off x="0" y="0"/>
                      <a:ext cx="5411470" cy="3137535"/>
                    </a:xfrm>
                    <a:prstGeom prst="rect">
                      <a:avLst/>
                    </a:prstGeom>
                    <a:noFill/>
                    <a:ln>
                      <a:noFill/>
                    </a:ln>
                  </pic:spPr>
                </pic:pic>
              </a:graphicData>
            </a:graphic>
          </wp:anchor>
        </w:drawing>
      </w:r>
      <w:r>
        <w:t>图1</w:t>
      </w:r>
      <w:r>
        <w:rPr>
          <w:rFonts w:hint="eastAsia"/>
          <w:lang w:val="en-US" w:eastAsia="zh-CN"/>
        </w:rPr>
        <w:t xml:space="preserve">0 </w:t>
      </w:r>
      <w:r>
        <w:t>现代产业学院组织架构</w:t>
      </w:r>
      <w:bookmarkEnd w:id="420"/>
    </w:p>
    <w:p w14:paraId="706F202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071D48D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在产业学院的带动下，学生参加市级以上智能制造相关技能大赛获奖35项；机械产品三维模型设计1+X证书通过率达100%，毕业生就业率98%，高职升学率99.2%。2020届毕业生徐永杰等现任重庆增材制造有限公司技术骨干，并被学院聘为兼职教师。</w:t>
      </w:r>
    </w:p>
    <w:p w14:paraId="64E0457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教师获市级以上教学成果奖4项，国规教材3部，校企协同开发活页式教材5部。立项重庆市智能制造现代产业学院项目，成立技能大师工作室3个、名师工作室2个。教师参加市级以上技能大赛获奖12项，教育教学类比赛获市级以上奖项5项，论文、案例等获市级以上奖项6项。</w:t>
      </w:r>
    </w:p>
    <w:p w14:paraId="3F3D0065">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3DDD194E">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0C3DDD2B">
      <w:pPr>
        <w:pStyle w:val="41"/>
        <w:bidi w:val="0"/>
        <w:rPr>
          <w:rFonts w:hint="eastAsia"/>
          <w:sz w:val="32"/>
          <w:szCs w:val="32"/>
          <w:lang w:val="en-US" w:eastAsia="zh-CN"/>
        </w:rPr>
      </w:pPr>
      <w:bookmarkStart w:id="421" w:name="_Toc13481"/>
      <w:r>
        <w:rPr>
          <w:rFonts w:hint="eastAsia"/>
          <w:sz w:val="32"/>
          <w:szCs w:val="32"/>
          <w:lang w:val="en-US" w:eastAsia="zh-CN"/>
        </w:rPr>
        <w:t>案例9：校企携手共建“六位一体”电商产教融合实训基地，铸就命运共同体</w:t>
      </w:r>
      <w:bookmarkEnd w:id="421"/>
    </w:p>
    <w:p w14:paraId="78E1D3F9">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_GBK" w:cs="Times New Roman"/>
          <w:bCs/>
          <w:color w:val="auto"/>
          <w:spacing w:val="0"/>
          <w:kern w:val="44"/>
          <w:szCs w:val="44"/>
          <w:shd w:val="clear" w:color="auto" w:fill="FFFFFF"/>
          <w:lang w:val="en-US" w:eastAsia="zh-CN" w:bidi="ar-SA"/>
        </w:rPr>
      </w:pPr>
    </w:p>
    <w:p w14:paraId="04E9558D">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2AF55B8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市级项目电商产教融合实训基地通过两年建设，精准对接重庆市经济体系转型升级，通过与京东等龙头企业共建校企命运体，建成了集生产、实训、培训、比赛、鉴定、服务功能“六位一体”的电子商务产教融合实践基地。</w:t>
      </w:r>
    </w:p>
    <w:p w14:paraId="3A017080">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586602C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校企共建“理实虚立体化”实训中心3个。</w:t>
      </w:r>
    </w:p>
    <w:p w14:paraId="438E501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校企双元课程共建规范，将岗位标准、大赛内容、1+X证书标准有机融入课程体系。</w:t>
      </w:r>
    </w:p>
    <w:p w14:paraId="3F5EC17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搭建“学校、田间、云上”三课堂教学场域，采用校企双导师引导学生通过项目培训等五步骤完成项目任务。</w:t>
      </w:r>
    </w:p>
    <w:p w14:paraId="4E398A2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特聘行业产业导师1名和岗位大师2名，建成1个电子商务名师工作室和2个岗位大师工作室，2024年团队成功创建市级教学创新团队。</w:t>
      </w:r>
    </w:p>
    <w:p w14:paraId="049E2DD2">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49DCBE3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一是促进了学生成长。近1年，学校培养150余名电子商务人才，学生获奖11项；学生在实战中产品年销售额达到100多万元。二是促进了教师的专业发展。教师获市级以上奖励23项，成功申报国家级在线精品课程1门，打造了市级课堂革命示范课堂典型案例1个，2024年电商团队立项市级教学创新团队；三是引领职业教育改革发展。服务区域，面向社区、乡村开展技能培训、技能鉴定等1000多人次，服务乡村振兴新农人培训6个乡镇，5个社区，受到学习强国、重庆日报等媒体报道12次。</w:t>
      </w:r>
    </w:p>
    <w:p w14:paraId="00B8E5C2">
      <w:pPr>
        <w:spacing w:line="360" w:lineRule="auto"/>
        <w:rPr>
          <w:color w:val="auto"/>
        </w:rPr>
      </w:pPr>
    </w:p>
    <w:p w14:paraId="143009C7">
      <w:pPr>
        <w:pStyle w:val="18"/>
        <w:bidi w:val="0"/>
        <w:rPr>
          <w:rFonts w:hint="eastAsia"/>
        </w:rPr>
      </w:pPr>
      <w:r>
        <w:rPr>
          <w:color w:val="auto"/>
        </w:rPr>
        <w:drawing>
          <wp:anchor distT="0" distB="0" distL="114300" distR="114300" simplePos="0" relativeHeight="251669504" behindDoc="0" locked="0" layoutInCell="1" allowOverlap="1">
            <wp:simplePos x="0" y="0"/>
            <wp:positionH relativeFrom="column">
              <wp:posOffset>120015</wp:posOffset>
            </wp:positionH>
            <wp:positionV relativeFrom="paragraph">
              <wp:posOffset>17145</wp:posOffset>
            </wp:positionV>
            <wp:extent cx="5273675" cy="3657600"/>
            <wp:effectExtent l="0" t="0" r="3175" b="0"/>
            <wp:wrapTopAndBottom/>
            <wp:docPr id="94" name="图片 30" descr="D:\新建文件夹\2024.11.27职业教育质量年度报告\图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descr="D:\新建文件夹\2024.11.27职业教育质量年度报告\图片\18.jpg"/>
                    <pic:cNvPicPr>
                      <a:picLocks noChangeAspect="1"/>
                    </pic:cNvPicPr>
                  </pic:nvPicPr>
                  <pic:blipFill>
                    <a:blip r:embed="rId19"/>
                    <a:stretch>
                      <a:fillRect/>
                    </a:stretch>
                  </pic:blipFill>
                  <pic:spPr>
                    <a:xfrm>
                      <a:off x="0" y="0"/>
                      <a:ext cx="5273675" cy="3657600"/>
                    </a:xfrm>
                    <a:prstGeom prst="rect">
                      <a:avLst/>
                    </a:prstGeom>
                    <a:noFill/>
                    <a:ln>
                      <a:noFill/>
                    </a:ln>
                  </pic:spPr>
                </pic:pic>
              </a:graphicData>
            </a:graphic>
          </wp:anchor>
        </w:drawing>
      </w:r>
    </w:p>
    <w:p w14:paraId="31FEA2F9">
      <w:pPr>
        <w:pStyle w:val="18"/>
        <w:bidi w:val="0"/>
        <w:rPr>
          <w:rFonts w:hint="eastAsia"/>
          <w:lang w:val="en-US" w:eastAsia="zh-CN"/>
        </w:rPr>
      </w:pPr>
      <w:bookmarkStart w:id="422" w:name="_Toc5667"/>
      <w:r>
        <w:rPr>
          <w:rFonts w:hint="eastAsia"/>
        </w:rPr>
        <w:t>图</w:t>
      </w:r>
      <w:r>
        <w:rPr>
          <w:rFonts w:hint="eastAsia"/>
          <w:lang w:val="en-US" w:eastAsia="zh-CN"/>
        </w:rPr>
        <w:t xml:space="preserve">11 </w:t>
      </w:r>
      <w:r>
        <w:rPr>
          <w:rFonts w:hint="eastAsia"/>
        </w:rPr>
        <w:t>校企共同开发的《新媒体营销》成为教育部认定的国家在线精品课程</w:t>
      </w:r>
      <w:bookmarkEnd w:id="422"/>
    </w:p>
    <w:p w14:paraId="4494AC75">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264C4AC8">
      <w:pPr>
        <w:pStyle w:val="41"/>
        <w:bidi w:val="0"/>
        <w:rPr>
          <w:rFonts w:hint="eastAsia"/>
          <w:sz w:val="32"/>
          <w:szCs w:val="32"/>
          <w:lang w:val="en-US" w:eastAsia="zh-CN"/>
        </w:rPr>
      </w:pPr>
      <w:bookmarkStart w:id="423" w:name="_Toc12497"/>
      <w:r>
        <w:rPr>
          <w:rFonts w:hint="eastAsia"/>
          <w:sz w:val="32"/>
          <w:szCs w:val="32"/>
          <w:lang w:val="en-US" w:eastAsia="zh-CN"/>
        </w:rPr>
        <w:t>案例10：培训促就业，“按”出美好生活—开展盲人按摩保健提升培训</w:t>
      </w:r>
      <w:bookmarkEnd w:id="423"/>
    </w:p>
    <w:p w14:paraId="5820AA14">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p>
    <w:p w14:paraId="183E451F">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1BE5808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认真贯彻落实党的二十大精神，按照《重庆市“十四五”残疾人保障和发展规划（2021-2025年）》的要求，积极参与区内残疾人技能提升培训，于2024年6月29日承接南岸区残联残疾人“盲人保健按摩提升”培训项目。重庆市龙门浩职业中学校充分利用现有实训场地，聘请行业专家，招募学生志愿者，热情细致地开展培训工作。</w:t>
      </w:r>
    </w:p>
    <w:p w14:paraId="334D3B0E">
      <w:pPr>
        <w:pStyle w:val="20"/>
        <w:widowControl/>
        <w:spacing w:beforeAutospacing="0" w:after="105" w:afterAutospacing="0" w:line="360" w:lineRule="auto"/>
        <w:jc w:val="center"/>
        <w:rPr>
          <w:rFonts w:cs="Times New Roman"/>
          <w:color w:val="auto"/>
          <w:kern w:val="2"/>
          <w:sz w:val="28"/>
          <w:szCs w:val="28"/>
        </w:rPr>
      </w:pPr>
      <w:r>
        <w:rPr>
          <w:rFonts w:cs="Times New Roman"/>
          <w:color w:val="auto"/>
          <w:kern w:val="2"/>
          <w:sz w:val="28"/>
          <w:szCs w:val="28"/>
        </w:rPr>
        <w:drawing>
          <wp:inline distT="0" distB="0" distL="114300" distR="114300">
            <wp:extent cx="5273675" cy="3276600"/>
            <wp:effectExtent l="0" t="0" r="3175" b="0"/>
            <wp:docPr id="99" name="图片 31" descr="D:\新建文件夹\2024.11.27职业教育质量年度报告\图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1" descr="D:\新建文件夹\2024.11.27职业教育质量年度报告\图片\19.jpg"/>
                    <pic:cNvPicPr>
                      <a:picLocks noChangeAspect="1"/>
                    </pic:cNvPicPr>
                  </pic:nvPicPr>
                  <pic:blipFill>
                    <a:blip r:embed="rId20"/>
                    <a:stretch>
                      <a:fillRect/>
                    </a:stretch>
                  </pic:blipFill>
                  <pic:spPr>
                    <a:xfrm>
                      <a:off x="0" y="0"/>
                      <a:ext cx="5273675" cy="3276600"/>
                    </a:xfrm>
                    <a:prstGeom prst="rect">
                      <a:avLst/>
                    </a:prstGeom>
                    <a:noFill/>
                    <a:ln>
                      <a:noFill/>
                    </a:ln>
                  </pic:spPr>
                </pic:pic>
              </a:graphicData>
            </a:graphic>
          </wp:inline>
        </w:drawing>
      </w:r>
    </w:p>
    <w:p w14:paraId="58BC8BAA">
      <w:pPr>
        <w:pStyle w:val="18"/>
        <w:bidi w:val="0"/>
      </w:pPr>
      <w:bookmarkStart w:id="424" w:name="_Toc29103"/>
      <w:r>
        <w:rPr>
          <w:rFonts w:hint="eastAsia"/>
        </w:rPr>
        <w:t>图</w:t>
      </w:r>
      <w:r>
        <w:t>1</w:t>
      </w:r>
      <w:r>
        <w:rPr>
          <w:rFonts w:hint="eastAsia"/>
          <w:lang w:val="en-US" w:eastAsia="zh-CN"/>
        </w:rPr>
        <w:t xml:space="preserve">2 </w:t>
      </w:r>
      <w:r>
        <w:rPr>
          <w:rFonts w:hint="eastAsia"/>
        </w:rPr>
        <w:t>盲人保健按摩培训开班仪式</w:t>
      </w:r>
      <w:bookmarkEnd w:id="424"/>
    </w:p>
    <w:p w14:paraId="37E97A56">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155E561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此次培训邀请重庆市盲人按摩学会会长李坚担任授课教师，主要围绕颈椎动态关节松动术在颈椎运动障碍中的应用、胸廓出口综合症的评估与治疗等五个方面进行讲解并示范，教师充分结合盲人学员的认知特点，通过面对面提问交流、手把手实操的教学方式进行授课。</w:t>
      </w:r>
    </w:p>
    <w:p w14:paraId="729BAE9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重庆市龙门浩职业中学校按照“一对一”服务的要求，安排学生志愿者与参加培训学员同吃同住同行，精心照顾他们，让他们学得安心、学得放心，学校领导也到培训现场鼓励学员学本领、强技能、增斗志，进一步提升自身技能。</w:t>
      </w:r>
    </w:p>
    <w:p w14:paraId="662D3984">
      <w:pPr>
        <w:pStyle w:val="20"/>
        <w:widowControl/>
        <w:spacing w:beforeAutospacing="0" w:after="105" w:afterAutospacing="0" w:line="360" w:lineRule="auto"/>
        <w:jc w:val="center"/>
        <w:rPr>
          <w:rFonts w:cs="Times New Roman"/>
          <w:color w:val="auto"/>
          <w:kern w:val="2"/>
          <w:sz w:val="28"/>
          <w:szCs w:val="28"/>
        </w:rPr>
      </w:pPr>
      <w:r>
        <w:rPr>
          <w:rFonts w:cs="Times New Roman"/>
          <w:color w:val="auto"/>
          <w:kern w:val="2"/>
          <w:sz w:val="28"/>
          <w:szCs w:val="28"/>
        </w:rPr>
        <w:drawing>
          <wp:inline distT="0" distB="0" distL="114300" distR="114300">
            <wp:extent cx="5262880" cy="3547745"/>
            <wp:effectExtent l="0" t="0" r="13970" b="14605"/>
            <wp:docPr id="98" name="图片 32" descr="D:\新建文件夹\2024.11.27职业教育质量年度报告\图片\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descr="D:\新建文件夹\2024.11.27职业教育质量年度报告\图片\20.jpg"/>
                    <pic:cNvPicPr>
                      <a:picLocks noChangeAspect="1"/>
                    </pic:cNvPicPr>
                  </pic:nvPicPr>
                  <pic:blipFill>
                    <a:blip r:embed="rId21"/>
                    <a:stretch>
                      <a:fillRect/>
                    </a:stretch>
                  </pic:blipFill>
                  <pic:spPr>
                    <a:xfrm>
                      <a:off x="0" y="0"/>
                      <a:ext cx="5262880" cy="3547745"/>
                    </a:xfrm>
                    <a:prstGeom prst="rect">
                      <a:avLst/>
                    </a:prstGeom>
                    <a:noFill/>
                    <a:ln>
                      <a:noFill/>
                    </a:ln>
                  </pic:spPr>
                </pic:pic>
              </a:graphicData>
            </a:graphic>
          </wp:inline>
        </w:drawing>
      </w:r>
    </w:p>
    <w:p w14:paraId="5BB172CC">
      <w:pPr>
        <w:pStyle w:val="18"/>
        <w:bidi w:val="0"/>
      </w:pPr>
      <w:bookmarkStart w:id="425" w:name="_Toc25489"/>
      <w:r>
        <w:rPr>
          <w:rFonts w:hint="eastAsia"/>
        </w:rPr>
        <w:t>图</w:t>
      </w:r>
      <w:r>
        <w:rPr>
          <w:rFonts w:hint="eastAsia"/>
          <w:lang w:val="en-US" w:eastAsia="zh-CN"/>
        </w:rPr>
        <w:t xml:space="preserve">13 </w:t>
      </w:r>
      <w:r>
        <w:rPr>
          <w:rFonts w:hint="eastAsia"/>
        </w:rPr>
        <w:t>李坚会长授课现场</w:t>
      </w:r>
      <w:bookmarkEnd w:id="425"/>
    </w:p>
    <w:p w14:paraId="4CA349A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49AD1F3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员通过系统地学习，显著提升了对颈、肩、腰、腿痛的按摩技能，提高盲人保健按摩人员的职业技能和从业水平，增强了盲人靠技能增收的信心，点亮了他们的就业希望之光，帮助了社会弱势群体，为社会的稳定发展做出了贡献。</w:t>
      </w:r>
    </w:p>
    <w:p w14:paraId="7E1783B9">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22F76054">
      <w:pPr>
        <w:pStyle w:val="41"/>
        <w:bidi w:val="0"/>
        <w:rPr>
          <w:rFonts w:hint="eastAsia"/>
          <w:sz w:val="32"/>
          <w:szCs w:val="32"/>
          <w:lang w:val="en-US" w:eastAsia="zh-CN"/>
        </w:rPr>
      </w:pPr>
      <w:bookmarkStart w:id="426" w:name="_Toc3040"/>
      <w:r>
        <w:rPr>
          <w:rFonts w:hint="eastAsia"/>
          <w:sz w:val="32"/>
          <w:szCs w:val="32"/>
          <w:lang w:val="en-US" w:eastAsia="zh-CN"/>
        </w:rPr>
        <w:t>案例11：桥联匠心，共筑慧梦，育邻同行高星级饭店运营与管理专业辐射社区服务</w:t>
      </w:r>
      <w:bookmarkEnd w:id="426"/>
    </w:p>
    <w:p w14:paraId="513C3E33">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_GBK" w:cs="Times New Roman"/>
          <w:bCs/>
          <w:color w:val="auto"/>
          <w:spacing w:val="0"/>
          <w:kern w:val="44"/>
          <w:szCs w:val="44"/>
          <w:shd w:val="clear" w:color="auto" w:fill="FFFFFF"/>
          <w:lang w:val="en-US" w:eastAsia="zh-CN" w:bidi="ar-SA"/>
        </w:rPr>
      </w:pPr>
    </w:p>
    <w:p w14:paraId="7B0971EE">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34B0C44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随着职业教育的快速发展，中职院校逐渐承担起更多的社会责任，不仅致力于培养学生的专业技能，还积极投身社会服务，推动社区教育和技能培训的普及。重庆市龙门浩职业中学校旅游管理部积极响应国家关于职业教育与社区教育深度融合的政策号召，结合自身专业优势，面向周边社区居民，开展了一系列技能培训活动。这些活动旨在提升社区居民的职业技能水平，丰富他们的精神文化生活，促进社区的和谐发展。</w:t>
      </w:r>
    </w:p>
    <w:p w14:paraId="7F0C40A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1F020A0A">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根据社区居民的需求，设计了涵盖插花，咖啡调饮，茶艺等多个领域的培训课程。邀请“李琦江南菁英名师工作室”的教师担任讲师，确保培训质量。</w:t>
      </w:r>
    </w:p>
    <w:p w14:paraId="1A11B61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成果成效</w:t>
      </w:r>
    </w:p>
    <w:p w14:paraId="6563DF3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通过培训，社区居民掌握了多项实用技能，提高了生活质量。部分居民通过培训，成功找到了新的工作或创业机会，实现了个人价值的提升。培训活动促进了社区居民之间的交流与互动，增强了社区凝聚力。居民在培训中结识了新朋友，建立了良好的人际关系，为社区的和谐发展奠定了基础。当然通过走进社区，学校及专业部展示了其专业优势和社会责任感，提升了学校和专业部的社会声誉。</w:t>
      </w:r>
    </w:p>
    <w:p w14:paraId="1525556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此次培训活动，不仅提升了社区居民的职业技能水平，促进了社区的和谐发展，还提升了学院的社会声誉和影响力。</w:t>
      </w:r>
    </w:p>
    <w:p w14:paraId="0D85C816">
      <w:pPr>
        <w:keepNext w:val="0"/>
        <w:keepLines w:val="0"/>
        <w:pageBreakBefore w:val="0"/>
        <w:widowControl w:val="0"/>
        <w:kinsoku/>
        <w:wordWrap/>
        <w:overflowPunct/>
        <w:topLinePunct w:val="0"/>
        <w:autoSpaceDE/>
        <w:autoSpaceDN/>
        <w:bidi w:val="0"/>
        <w:adjustRightInd/>
        <w:snapToGrid/>
        <w:spacing w:line="600" w:lineRule="exact"/>
        <w:ind w:firstLine="36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ascii="宋体" w:hAnsi="宋体" w:cs="宋体"/>
          <w:color w:val="auto"/>
          <w:sz w:val="18"/>
          <w:szCs w:val="18"/>
        </w:rPr>
        <w:drawing>
          <wp:anchor distT="0" distB="0" distL="114300" distR="114300" simplePos="0" relativeHeight="251671552" behindDoc="0" locked="0" layoutInCell="1" allowOverlap="1">
            <wp:simplePos x="0" y="0"/>
            <wp:positionH relativeFrom="column">
              <wp:posOffset>277495</wp:posOffset>
            </wp:positionH>
            <wp:positionV relativeFrom="paragraph">
              <wp:posOffset>304165</wp:posOffset>
            </wp:positionV>
            <wp:extent cx="5163820" cy="3204210"/>
            <wp:effectExtent l="0" t="0" r="17780" b="15240"/>
            <wp:wrapNone/>
            <wp:docPr id="113" name="图片 33" descr="D:\新建文件夹\2024.11.27职业教育质量年度报告\图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3" descr="D:\新建文件夹\2024.11.27职业教育质量年度报告\图片\21.jpg"/>
                    <pic:cNvPicPr>
                      <a:picLocks noChangeAspect="1"/>
                    </pic:cNvPicPr>
                  </pic:nvPicPr>
                  <pic:blipFill>
                    <a:blip r:embed="rId22"/>
                    <a:stretch>
                      <a:fillRect/>
                    </a:stretch>
                  </pic:blipFill>
                  <pic:spPr>
                    <a:xfrm>
                      <a:off x="0" y="0"/>
                      <a:ext cx="5163820" cy="3204210"/>
                    </a:xfrm>
                    <a:prstGeom prst="rect">
                      <a:avLst/>
                    </a:prstGeom>
                    <a:noFill/>
                    <a:ln>
                      <a:noFill/>
                    </a:ln>
                  </pic:spPr>
                </pic:pic>
              </a:graphicData>
            </a:graphic>
          </wp:anchor>
        </w:drawing>
      </w:r>
    </w:p>
    <w:p w14:paraId="39DC4C8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p>
    <w:p w14:paraId="670BB6E7">
      <w:pPr>
        <w:pStyle w:val="18"/>
        <w:bidi w:val="0"/>
        <w:rPr>
          <w:rFonts w:hint="eastAsia"/>
        </w:rPr>
      </w:pPr>
    </w:p>
    <w:p w14:paraId="45EF87E8">
      <w:pPr>
        <w:pStyle w:val="18"/>
        <w:bidi w:val="0"/>
        <w:rPr>
          <w:rFonts w:hint="eastAsia"/>
        </w:rPr>
      </w:pPr>
    </w:p>
    <w:p w14:paraId="2514B08C">
      <w:pPr>
        <w:pStyle w:val="18"/>
        <w:bidi w:val="0"/>
        <w:rPr>
          <w:rFonts w:hint="eastAsia"/>
        </w:rPr>
      </w:pPr>
    </w:p>
    <w:p w14:paraId="76888F23">
      <w:pPr>
        <w:pStyle w:val="18"/>
        <w:bidi w:val="0"/>
        <w:rPr>
          <w:rFonts w:hint="eastAsia"/>
        </w:rPr>
      </w:pPr>
    </w:p>
    <w:p w14:paraId="70829888">
      <w:pPr>
        <w:pStyle w:val="18"/>
        <w:bidi w:val="0"/>
        <w:rPr>
          <w:rFonts w:hint="eastAsia"/>
        </w:rPr>
      </w:pPr>
    </w:p>
    <w:p w14:paraId="7150DBDE">
      <w:pPr>
        <w:pStyle w:val="18"/>
        <w:bidi w:val="0"/>
        <w:rPr>
          <w:rFonts w:hint="eastAsia"/>
        </w:rPr>
      </w:pPr>
    </w:p>
    <w:p w14:paraId="6DC510D5">
      <w:pPr>
        <w:pStyle w:val="18"/>
        <w:bidi w:val="0"/>
        <w:rPr>
          <w:rFonts w:hint="eastAsia"/>
        </w:rPr>
      </w:pPr>
    </w:p>
    <w:p w14:paraId="14C3D155">
      <w:pPr>
        <w:pStyle w:val="18"/>
        <w:bidi w:val="0"/>
        <w:rPr>
          <w:rFonts w:hint="eastAsia"/>
        </w:rPr>
      </w:pPr>
    </w:p>
    <w:p w14:paraId="043E5E3E">
      <w:pPr>
        <w:pStyle w:val="18"/>
        <w:bidi w:val="0"/>
      </w:pPr>
      <w:bookmarkStart w:id="427" w:name="_Toc4876"/>
      <w:r>
        <w:rPr>
          <w:rFonts w:hint="eastAsia"/>
        </w:rPr>
        <w:t>图</w:t>
      </w:r>
      <w:r>
        <w:rPr>
          <w:rFonts w:hint="eastAsia"/>
          <w:lang w:val="en-US" w:eastAsia="zh-CN"/>
        </w:rPr>
        <w:t xml:space="preserve">14 </w:t>
      </w:r>
      <w:r>
        <w:rPr>
          <w:rFonts w:hint="eastAsia"/>
        </w:rPr>
        <w:t>社区茶艺培训</w:t>
      </w:r>
      <w:bookmarkEnd w:id="427"/>
    </w:p>
    <w:p w14:paraId="6F556091">
      <w:pPr>
        <w:rPr>
          <w:rFonts w:hint="eastAsia" w:ascii="Times New Roman" w:hAnsi="Times New Roman" w:eastAsia="方正小标宋_GBK" w:cs="Times New Roman"/>
          <w:bCs/>
          <w:color w:val="auto"/>
          <w:spacing w:val="0"/>
          <w:kern w:val="44"/>
          <w:sz w:val="44"/>
          <w:szCs w:val="44"/>
          <w:shd w:val="clear" w:color="auto" w:fill="FFFFFF"/>
          <w:lang w:val="en-US" w:eastAsia="zh-CN" w:bidi="ar-SA"/>
        </w:rPr>
      </w:pPr>
      <w:r>
        <w:rPr>
          <w:rFonts w:hint="eastAsia" w:ascii="Times New Roman" w:hAnsi="Times New Roman" w:eastAsia="方正小标宋_GBK" w:cs="Times New Roman"/>
          <w:bCs/>
          <w:color w:val="auto"/>
          <w:spacing w:val="0"/>
          <w:kern w:val="44"/>
          <w:sz w:val="44"/>
          <w:szCs w:val="44"/>
          <w:shd w:val="clear" w:color="auto" w:fill="FFFFFF"/>
          <w:lang w:val="en-US" w:eastAsia="zh-CN" w:bidi="ar-SA"/>
        </w:rPr>
        <w:br w:type="page"/>
      </w:r>
    </w:p>
    <w:p w14:paraId="40668FAC">
      <w:pPr>
        <w:pStyle w:val="20"/>
        <w:bidi w:val="0"/>
        <w:rPr>
          <w:rFonts w:hint="eastAsia"/>
        </w:rPr>
      </w:pPr>
      <w:r>
        <w:rPr>
          <w:rFonts w:ascii="宋体" w:hAnsi="宋体" w:cs="宋体"/>
          <w:color w:val="auto"/>
          <w:sz w:val="18"/>
          <w:szCs w:val="18"/>
        </w:rPr>
        <w:drawing>
          <wp:anchor distT="0" distB="0" distL="114300" distR="114300" simplePos="0" relativeHeight="251670528" behindDoc="0" locked="0" layoutInCell="1" allowOverlap="1">
            <wp:simplePos x="0" y="0"/>
            <wp:positionH relativeFrom="column">
              <wp:posOffset>273050</wp:posOffset>
            </wp:positionH>
            <wp:positionV relativeFrom="paragraph">
              <wp:posOffset>136525</wp:posOffset>
            </wp:positionV>
            <wp:extent cx="5145405" cy="3168015"/>
            <wp:effectExtent l="0" t="0" r="17145" b="13335"/>
            <wp:wrapNone/>
            <wp:docPr id="110" name="图片 34" descr="D:\新建文件夹\2024.11.27职业教育质量年度报告\图片\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4" descr="D:\新建文件夹\2024.11.27职业教育质量年度报告\图片\22.jpg"/>
                    <pic:cNvPicPr>
                      <a:picLocks noChangeAspect="1"/>
                    </pic:cNvPicPr>
                  </pic:nvPicPr>
                  <pic:blipFill>
                    <a:blip r:embed="rId23"/>
                    <a:stretch>
                      <a:fillRect/>
                    </a:stretch>
                  </pic:blipFill>
                  <pic:spPr>
                    <a:xfrm>
                      <a:off x="0" y="0"/>
                      <a:ext cx="5145405" cy="3168015"/>
                    </a:xfrm>
                    <a:prstGeom prst="rect">
                      <a:avLst/>
                    </a:prstGeom>
                    <a:noFill/>
                    <a:ln>
                      <a:noFill/>
                    </a:ln>
                  </pic:spPr>
                </pic:pic>
              </a:graphicData>
            </a:graphic>
          </wp:anchor>
        </w:drawing>
      </w:r>
    </w:p>
    <w:p w14:paraId="785CAA8C">
      <w:pPr>
        <w:pStyle w:val="20"/>
        <w:bidi w:val="0"/>
        <w:rPr>
          <w:rFonts w:hint="eastAsia"/>
        </w:rPr>
      </w:pPr>
    </w:p>
    <w:p w14:paraId="78D70D8F">
      <w:pPr>
        <w:pStyle w:val="20"/>
        <w:bidi w:val="0"/>
        <w:rPr>
          <w:rFonts w:hint="eastAsia"/>
        </w:rPr>
      </w:pPr>
    </w:p>
    <w:p w14:paraId="0EBE371C">
      <w:pPr>
        <w:pStyle w:val="20"/>
        <w:bidi w:val="0"/>
        <w:rPr>
          <w:rFonts w:hint="eastAsia"/>
        </w:rPr>
      </w:pPr>
    </w:p>
    <w:p w14:paraId="67F9AA00">
      <w:pPr>
        <w:pStyle w:val="20"/>
        <w:bidi w:val="0"/>
        <w:rPr>
          <w:rFonts w:hint="eastAsia"/>
        </w:rPr>
      </w:pPr>
    </w:p>
    <w:p w14:paraId="3A94458B">
      <w:pPr>
        <w:pStyle w:val="20"/>
        <w:bidi w:val="0"/>
        <w:rPr>
          <w:rFonts w:hint="eastAsia"/>
        </w:rPr>
      </w:pPr>
    </w:p>
    <w:p w14:paraId="376AC5C5">
      <w:pPr>
        <w:pStyle w:val="20"/>
        <w:bidi w:val="0"/>
        <w:rPr>
          <w:rFonts w:hint="eastAsia"/>
        </w:rPr>
      </w:pPr>
    </w:p>
    <w:p w14:paraId="0F152F8B">
      <w:pPr>
        <w:pStyle w:val="20"/>
        <w:bidi w:val="0"/>
        <w:rPr>
          <w:rFonts w:hint="eastAsia"/>
        </w:rPr>
      </w:pPr>
    </w:p>
    <w:p w14:paraId="1C0AE5D6">
      <w:pPr>
        <w:pStyle w:val="20"/>
        <w:bidi w:val="0"/>
        <w:rPr>
          <w:rFonts w:hint="eastAsia"/>
        </w:rPr>
      </w:pPr>
    </w:p>
    <w:p w14:paraId="3070DB87">
      <w:pPr>
        <w:pStyle w:val="18"/>
        <w:bidi w:val="0"/>
        <w:rPr>
          <w:rFonts w:hint="eastAsia"/>
          <w:lang w:val="en-US" w:eastAsia="zh-CN"/>
        </w:rPr>
      </w:pPr>
      <w:bookmarkStart w:id="428" w:name="_Toc32039"/>
      <w:r>
        <w:rPr>
          <w:rFonts w:hint="eastAsia"/>
        </w:rPr>
        <w:t>图</w:t>
      </w:r>
      <w:r>
        <w:rPr>
          <w:rFonts w:hint="eastAsia"/>
          <w:lang w:val="en-US" w:eastAsia="zh-CN"/>
        </w:rPr>
        <w:t xml:space="preserve">15 </w:t>
      </w:r>
      <w:r>
        <w:rPr>
          <w:rFonts w:hint="eastAsia"/>
        </w:rPr>
        <w:t>社区插花培训</w:t>
      </w:r>
      <w:bookmarkEnd w:id="428"/>
    </w:p>
    <w:p w14:paraId="0D8C4FFE">
      <w:pPr>
        <w:rPr>
          <w:rFonts w:hint="eastAsia"/>
          <w:lang w:val="en-US" w:eastAsia="zh-CN"/>
        </w:rPr>
      </w:pPr>
    </w:p>
    <w:p w14:paraId="575BD5A1">
      <w:pPr>
        <w:rPr>
          <w:rFonts w:hint="eastAsia"/>
          <w:lang w:val="en-US" w:eastAsia="zh-CN"/>
        </w:rPr>
      </w:pPr>
    </w:p>
    <w:p w14:paraId="64815500">
      <w:pPr>
        <w:rPr>
          <w:rFonts w:hint="eastAsia"/>
          <w:lang w:val="en-US" w:eastAsia="zh-CN"/>
        </w:rPr>
      </w:pPr>
      <w:r>
        <w:rPr>
          <w:rFonts w:hint="eastAsia"/>
          <w:lang w:val="en-US" w:eastAsia="zh-CN"/>
        </w:rPr>
        <w:br w:type="page"/>
      </w:r>
    </w:p>
    <w:p w14:paraId="7BFD912A">
      <w:pPr>
        <w:pStyle w:val="41"/>
        <w:bidi w:val="0"/>
        <w:rPr>
          <w:rFonts w:hint="eastAsia"/>
          <w:sz w:val="32"/>
          <w:szCs w:val="32"/>
          <w:lang w:val="en-US" w:eastAsia="zh-CN"/>
        </w:rPr>
      </w:pPr>
      <w:bookmarkStart w:id="429" w:name="_Toc1933"/>
      <w:r>
        <w:rPr>
          <w:rFonts w:hint="eastAsia"/>
          <w:sz w:val="32"/>
          <w:szCs w:val="32"/>
          <w:lang w:val="en-US" w:eastAsia="zh-CN"/>
        </w:rPr>
        <w:t>案例12：“同心圆”桑梓课程文化建设实现中职学生发展与乡村振兴的双向奔赴</w:t>
      </w:r>
      <w:bookmarkEnd w:id="429"/>
    </w:p>
    <w:p w14:paraId="13B631D8">
      <w:pPr>
        <w:pStyle w:val="13"/>
        <w:keepNext w:val="0"/>
        <w:keepLines w:val="0"/>
        <w:pageBreakBefore w:val="0"/>
        <w:kinsoku/>
        <w:overflowPunct/>
        <w:topLinePunct w:val="0"/>
        <w:autoSpaceDE/>
        <w:autoSpaceDN/>
        <w:bidi w:val="0"/>
        <w:adjustRightInd/>
        <w:snapToGrid/>
        <w:spacing w:after="0" w:line="360" w:lineRule="auto"/>
        <w:ind w:left="0" w:leftChars="0" w:firstLine="0" w:firstLineChars="0"/>
        <w:jc w:val="center"/>
        <w:textAlignment w:val="auto"/>
        <w:rPr>
          <w:rFonts w:hint="eastAsia" w:ascii="Times New Roman" w:hAnsi="Times New Roman" w:eastAsia="方正小标宋_GBK" w:cs="Times New Roman"/>
          <w:bCs/>
          <w:color w:val="auto"/>
          <w:spacing w:val="0"/>
          <w:kern w:val="44"/>
          <w:szCs w:val="44"/>
          <w:shd w:val="clear" w:color="auto" w:fill="FFFFFF"/>
          <w:lang w:val="en-US" w:eastAsia="zh-CN" w:bidi="ar-SA"/>
        </w:rPr>
      </w:pPr>
    </w:p>
    <w:p w14:paraId="147B266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2FFC38E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学校桑梓课程文化实践，从思政课程到课程思政，共绘育人“同心圆”，“反哺桑梓”回报故乡或家乡。努力建构以“知农、爱农、助农、兴农”为核心的课程文化。</w:t>
      </w:r>
    </w:p>
    <w:p w14:paraId="18B53C5B">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67818D0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加强团队建设，共同打造一支由1个学校思政教师、1个企业导师、1个农民导师加N个专业教师组成的“大思政”课程队伍。聚焦“教什么”，深挖乡村振兴“基因库”，将乡村振兴文化有机融入思政课堂。把乡村振兴文化转为思政育人元素。聚焦“谁来教”，落地“人人都是德育工作者”理念，坚持校内校外全员育人，促进教师既教书又育人。聚焦“怎么教”，强化亲身体验和现场实操，增强沉浸式、实践性、操作性的感悟。聚焦“在哪儿教”，对课程环境进行整体规划，拓展建构学校课堂、田间课堂、云上课堂的“三课堂”教学场域。</w:t>
      </w:r>
    </w:p>
    <w:p w14:paraId="502ED469">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1E72C23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实现了在乡村振兴、教育均衡化发展方面的带动效应。近三年，为乡村输送982名毕业生；建成4支市级思政课程和课程思政示范团队，建成4个课程思政重庆市精品课程；增强学生服务乡村能力，“爱心助农”直播带货销售额突破200万，描绘5个乡村文化墙，美化乡村环境，12个养老院，培训农村人员1200多人次，获中国教育电视台、重庆日报、华龙网等20余家媒体报道30余次。</w:t>
      </w:r>
    </w:p>
    <w:p w14:paraId="0D8220E7">
      <w:pPr>
        <w:spacing w:line="360" w:lineRule="auto"/>
        <w:rPr>
          <w:color w:val="auto"/>
        </w:rPr>
      </w:pPr>
      <w:r>
        <w:rPr>
          <w:color w:val="auto"/>
        </w:rPr>
        <w:drawing>
          <wp:inline distT="0" distB="0" distL="114300" distR="114300">
            <wp:extent cx="5354320" cy="3540125"/>
            <wp:effectExtent l="0" t="0" r="17780" b="3175"/>
            <wp:docPr id="114" name="图片 35" descr="D:\新建文件夹\2024.11.27职业教育质量年度报告\图片\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5" descr="D:\新建文件夹\2024.11.27职业教育质量年度报告\图片\23.png"/>
                    <pic:cNvPicPr>
                      <a:picLocks noChangeAspect="1"/>
                    </pic:cNvPicPr>
                  </pic:nvPicPr>
                  <pic:blipFill>
                    <a:blip r:embed="rId24"/>
                    <a:stretch>
                      <a:fillRect/>
                    </a:stretch>
                  </pic:blipFill>
                  <pic:spPr>
                    <a:xfrm>
                      <a:off x="0" y="0"/>
                      <a:ext cx="5354320" cy="3540125"/>
                    </a:xfrm>
                    <a:prstGeom prst="rect">
                      <a:avLst/>
                    </a:prstGeom>
                    <a:noFill/>
                    <a:ln>
                      <a:noFill/>
                    </a:ln>
                  </pic:spPr>
                </pic:pic>
              </a:graphicData>
            </a:graphic>
          </wp:inline>
        </w:drawing>
      </w:r>
    </w:p>
    <w:p w14:paraId="3EFE160F">
      <w:pPr>
        <w:pStyle w:val="18"/>
        <w:bidi w:val="0"/>
        <w:rPr>
          <w:rFonts w:hint="eastAsia"/>
          <w:lang w:val="en-US" w:eastAsia="zh-CN"/>
        </w:rPr>
      </w:pPr>
      <w:bookmarkStart w:id="430" w:name="_Toc32098"/>
      <w:r>
        <w:rPr>
          <w:rFonts w:hint="eastAsia"/>
        </w:rPr>
        <w:t>图</w:t>
      </w:r>
      <w:r>
        <w:rPr>
          <w:rFonts w:hint="eastAsia"/>
          <w:lang w:val="en-US" w:eastAsia="zh-CN"/>
        </w:rPr>
        <w:t xml:space="preserve">16 </w:t>
      </w:r>
      <w:r>
        <w:rPr>
          <w:rFonts w:hint="eastAsia"/>
        </w:rPr>
        <w:t>思政教师上的乡村生态文明思政课</w:t>
      </w:r>
      <w:bookmarkEnd w:id="430"/>
    </w:p>
    <w:p w14:paraId="3B38E5CB">
      <w:pPr>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小标宋_GBK" w:cs="Times New Roman"/>
          <w:bCs/>
          <w:color w:val="auto"/>
          <w:kern w:val="44"/>
          <w:sz w:val="44"/>
          <w:szCs w:val="44"/>
          <w:shd w:val="clear" w:color="auto" w:fill="FFFFFF"/>
          <w:lang w:val="en-US" w:eastAsia="zh-CN" w:bidi="ar-SA"/>
        </w:rPr>
        <w:br w:type="page"/>
      </w:r>
    </w:p>
    <w:p w14:paraId="7E399F51">
      <w:pPr>
        <w:pStyle w:val="41"/>
        <w:bidi w:val="0"/>
        <w:rPr>
          <w:rFonts w:hint="eastAsia"/>
          <w:sz w:val="32"/>
          <w:szCs w:val="32"/>
          <w:lang w:val="en-US" w:eastAsia="zh-CN"/>
        </w:rPr>
      </w:pPr>
      <w:bookmarkStart w:id="431" w:name="_Toc6107"/>
      <w:bookmarkStart w:id="432" w:name="_Toc29206"/>
      <w:bookmarkStart w:id="433" w:name="_Toc15278"/>
      <w:r>
        <w:rPr>
          <w:rFonts w:hint="eastAsia"/>
          <w:sz w:val="32"/>
          <w:szCs w:val="32"/>
          <w:lang w:val="en-US" w:eastAsia="zh-CN"/>
        </w:rPr>
        <w:t>案例13：非遗文化赋能专业建设</w:t>
      </w:r>
      <w:bookmarkEnd w:id="431"/>
      <w:bookmarkEnd w:id="432"/>
      <w:bookmarkEnd w:id="433"/>
    </w:p>
    <w:p w14:paraId="1C402DBF">
      <w:pPr>
        <w:pageBreakBefore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方正小标宋_GBK" w:cs="Times New Roman"/>
          <w:bCs/>
          <w:color w:val="auto"/>
          <w:kern w:val="44"/>
          <w:sz w:val="44"/>
          <w:szCs w:val="44"/>
          <w:shd w:val="clear" w:color="auto" w:fill="FFFFFF"/>
          <w:lang w:val="en-US" w:eastAsia="zh-CN" w:bidi="ar-SA"/>
        </w:rPr>
      </w:pPr>
    </w:p>
    <w:p w14:paraId="555FA58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1D26E72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将非遗资源融入职业学校美育建设是传承非遗文化、实施文化育人的重要途径，重庆市龙门浩职业中学校通过非遗赋能工艺美术专业建设，以文化育人为抓手激活学生创新创业能力。</w:t>
      </w:r>
    </w:p>
    <w:p w14:paraId="08401D6B">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2EE096B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双导思想引领，凸显非遗文化育人价值。在非遗传承方面，构建以非遗技艺体验和非遗历史文化感知为内容的课程，通过非遗技艺课堂、陶艺社团课堂等进行实施和传播。在非遗创新方面，依托学校高技术技能人才实训基地及重庆机电集团增材制造打印中心为学生创新提供技术及平台保障，为学生非遗设计创意插上翅膀。</w:t>
      </w:r>
    </w:p>
    <w:p w14:paraId="7938163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实施三阶课程，彰显职业教育特色。依据学情及学生创新创业能力培养需要，以“作品—产品—商品”为转化路径，建立了“基础课+进阶课+拓展课”的课程体系，提升专业人才培养水平。</w:t>
      </w:r>
    </w:p>
    <w:p w14:paraId="50E7950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贯彻四维融合，培养创新创业人才。在非遗传承与非遗创新的双重导向下，促进专创融合、科创融合、文创融合以及赛创融合。工作室深度挖掘学校与重庆机电集团共建的3D打印基地潜力，巧妙地将3D打印技术与陶瓷工艺融合一体，成功承接并完成了特斯拉重庆车友会的专属陶瓷模型产品订单，以及与广汉三星堆博物馆携手开发的三星堆陶瓷文创茶具订单。</w:t>
      </w:r>
    </w:p>
    <w:p w14:paraId="6265C17A">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6EC20361">
      <w:pPr>
        <w:pStyle w:val="18"/>
        <w:bidi w:val="0"/>
        <w:rPr>
          <w:rFonts w:hint="eastAsia"/>
        </w:rPr>
      </w:pPr>
      <w:r>
        <w:drawing>
          <wp:anchor distT="0" distB="0" distL="114300" distR="114300" simplePos="0" relativeHeight="251672576" behindDoc="0" locked="0" layoutInCell="1" allowOverlap="1">
            <wp:simplePos x="0" y="0"/>
            <wp:positionH relativeFrom="column">
              <wp:posOffset>775335</wp:posOffset>
            </wp:positionH>
            <wp:positionV relativeFrom="paragraph">
              <wp:posOffset>84455</wp:posOffset>
            </wp:positionV>
            <wp:extent cx="4077970" cy="3060065"/>
            <wp:effectExtent l="0" t="0" r="17780" b="6985"/>
            <wp:wrapNone/>
            <wp:docPr id="6" name="图片 36" descr="D:\新建文件夹\2024.11.27职业教育质量年度报告\图片\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D:\新建文件夹\2024.11.27职业教育质量年度报告\图片\24.jpg"/>
                    <pic:cNvPicPr>
                      <a:picLocks noChangeAspect="1"/>
                    </pic:cNvPicPr>
                  </pic:nvPicPr>
                  <pic:blipFill>
                    <a:blip r:embed="rId25"/>
                    <a:stretch>
                      <a:fillRect/>
                    </a:stretch>
                  </pic:blipFill>
                  <pic:spPr>
                    <a:xfrm>
                      <a:off x="0" y="0"/>
                      <a:ext cx="4077970" cy="3060065"/>
                    </a:xfrm>
                    <a:prstGeom prst="rect">
                      <a:avLst/>
                    </a:prstGeom>
                    <a:noFill/>
                    <a:ln>
                      <a:noFill/>
                    </a:ln>
                  </pic:spPr>
                </pic:pic>
              </a:graphicData>
            </a:graphic>
          </wp:anchor>
        </w:drawing>
      </w:r>
    </w:p>
    <w:p w14:paraId="2BF3BF18">
      <w:pPr>
        <w:pStyle w:val="18"/>
        <w:bidi w:val="0"/>
        <w:rPr>
          <w:rFonts w:hint="eastAsia"/>
        </w:rPr>
      </w:pPr>
    </w:p>
    <w:p w14:paraId="21906CEE">
      <w:pPr>
        <w:pStyle w:val="18"/>
        <w:bidi w:val="0"/>
        <w:rPr>
          <w:rFonts w:hint="eastAsia"/>
        </w:rPr>
      </w:pPr>
    </w:p>
    <w:p w14:paraId="4D628FA3">
      <w:pPr>
        <w:pStyle w:val="18"/>
        <w:bidi w:val="0"/>
        <w:rPr>
          <w:rFonts w:hint="eastAsia"/>
        </w:rPr>
      </w:pPr>
    </w:p>
    <w:p w14:paraId="4CCF1597">
      <w:pPr>
        <w:pStyle w:val="18"/>
        <w:bidi w:val="0"/>
        <w:rPr>
          <w:rFonts w:hint="eastAsia"/>
        </w:rPr>
      </w:pPr>
    </w:p>
    <w:p w14:paraId="46E5CCE4">
      <w:pPr>
        <w:rPr>
          <w:rFonts w:hint="eastAsia"/>
        </w:rPr>
      </w:pPr>
    </w:p>
    <w:p w14:paraId="539E1A03">
      <w:pPr>
        <w:rPr>
          <w:rFonts w:hint="eastAsia"/>
        </w:rPr>
      </w:pPr>
    </w:p>
    <w:p w14:paraId="22BB064D">
      <w:pPr>
        <w:rPr>
          <w:rFonts w:hint="eastAsia"/>
        </w:rPr>
      </w:pPr>
    </w:p>
    <w:p w14:paraId="27C4ABBE">
      <w:pPr>
        <w:rPr>
          <w:rFonts w:hint="eastAsia"/>
        </w:rPr>
      </w:pPr>
    </w:p>
    <w:p w14:paraId="3C4B243B">
      <w:pPr>
        <w:rPr>
          <w:rFonts w:hint="eastAsia"/>
        </w:rPr>
      </w:pPr>
    </w:p>
    <w:p w14:paraId="258C346C">
      <w:pPr>
        <w:pStyle w:val="18"/>
        <w:bidi w:val="0"/>
        <w:rPr>
          <w:rFonts w:hint="eastAsia"/>
        </w:rPr>
      </w:pPr>
    </w:p>
    <w:p w14:paraId="0A22CA4D">
      <w:pPr>
        <w:pStyle w:val="18"/>
        <w:bidi w:val="0"/>
      </w:pPr>
      <w:bookmarkStart w:id="434" w:name="_Toc11629"/>
      <w:r>
        <w:rPr>
          <w:rFonts w:hint="eastAsia"/>
        </w:rPr>
        <w:t>图</w:t>
      </w:r>
      <w:r>
        <w:rPr>
          <w:rFonts w:hint="eastAsia"/>
          <w:lang w:val="en-US" w:eastAsia="zh-CN"/>
        </w:rPr>
        <w:t xml:space="preserve">17 </w:t>
      </w:r>
      <w:r>
        <w:rPr>
          <w:rFonts w:hint="eastAsia"/>
        </w:rPr>
        <w:t>非遗+传承，深度挖掘文化育人价值</w:t>
      </w:r>
      <w:bookmarkEnd w:id="434"/>
    </w:p>
    <w:p w14:paraId="55332822">
      <w:pPr>
        <w:pStyle w:val="18"/>
        <w:bidi w:val="0"/>
        <w:rPr>
          <w:rFonts w:hint="eastAsia"/>
        </w:rPr>
      </w:pPr>
      <w:r>
        <w:rPr>
          <w:color w:val="auto"/>
        </w:rPr>
        <w:drawing>
          <wp:anchor distT="0" distB="0" distL="114300" distR="114300" simplePos="0" relativeHeight="251673600" behindDoc="0" locked="0" layoutInCell="1" allowOverlap="1">
            <wp:simplePos x="0" y="0"/>
            <wp:positionH relativeFrom="column">
              <wp:posOffset>709295</wp:posOffset>
            </wp:positionH>
            <wp:positionV relativeFrom="paragraph">
              <wp:posOffset>90805</wp:posOffset>
            </wp:positionV>
            <wp:extent cx="4150995" cy="2952115"/>
            <wp:effectExtent l="0" t="0" r="1905" b="635"/>
            <wp:wrapNone/>
            <wp:docPr id="7" name="图片 37" descr="D:\新建文件夹\2024.11.27职业教育质量年度报告\图片\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descr="D:\新建文件夹\2024.11.27职业教育质量年度报告\图片\25.jpg"/>
                    <pic:cNvPicPr>
                      <a:picLocks noChangeAspect="1"/>
                    </pic:cNvPicPr>
                  </pic:nvPicPr>
                  <pic:blipFill>
                    <a:blip r:embed="rId26"/>
                    <a:stretch>
                      <a:fillRect/>
                    </a:stretch>
                  </pic:blipFill>
                  <pic:spPr>
                    <a:xfrm>
                      <a:off x="0" y="0"/>
                      <a:ext cx="4150995" cy="2952115"/>
                    </a:xfrm>
                    <a:prstGeom prst="rect">
                      <a:avLst/>
                    </a:prstGeom>
                    <a:noFill/>
                    <a:ln>
                      <a:noFill/>
                    </a:ln>
                  </pic:spPr>
                </pic:pic>
              </a:graphicData>
            </a:graphic>
          </wp:anchor>
        </w:drawing>
      </w:r>
    </w:p>
    <w:p w14:paraId="55E8F146">
      <w:pPr>
        <w:pStyle w:val="18"/>
        <w:bidi w:val="0"/>
        <w:rPr>
          <w:rFonts w:hint="eastAsia"/>
        </w:rPr>
      </w:pPr>
    </w:p>
    <w:p w14:paraId="752C66E5">
      <w:pPr>
        <w:pStyle w:val="18"/>
        <w:bidi w:val="0"/>
        <w:rPr>
          <w:rFonts w:hint="eastAsia"/>
        </w:rPr>
      </w:pPr>
    </w:p>
    <w:p w14:paraId="4945AB6A">
      <w:pPr>
        <w:pStyle w:val="18"/>
        <w:bidi w:val="0"/>
        <w:rPr>
          <w:rFonts w:hint="eastAsia"/>
        </w:rPr>
      </w:pPr>
    </w:p>
    <w:p w14:paraId="2EA1DB21">
      <w:pPr>
        <w:pStyle w:val="18"/>
        <w:bidi w:val="0"/>
        <w:rPr>
          <w:rFonts w:hint="eastAsia"/>
        </w:rPr>
      </w:pPr>
    </w:p>
    <w:p w14:paraId="3F4F92E6">
      <w:pPr>
        <w:pStyle w:val="18"/>
        <w:bidi w:val="0"/>
        <w:rPr>
          <w:rFonts w:hint="eastAsia"/>
        </w:rPr>
      </w:pPr>
    </w:p>
    <w:p w14:paraId="18885B56">
      <w:pPr>
        <w:pStyle w:val="18"/>
        <w:bidi w:val="0"/>
        <w:rPr>
          <w:rFonts w:hint="eastAsia"/>
        </w:rPr>
      </w:pPr>
    </w:p>
    <w:p w14:paraId="1101A48A">
      <w:pPr>
        <w:pStyle w:val="18"/>
        <w:bidi w:val="0"/>
        <w:rPr>
          <w:rFonts w:hint="eastAsia"/>
        </w:rPr>
      </w:pPr>
    </w:p>
    <w:p w14:paraId="2ECD81B7">
      <w:pPr>
        <w:pStyle w:val="18"/>
        <w:bidi w:val="0"/>
        <w:rPr>
          <w:rFonts w:hint="eastAsia"/>
          <w:lang w:val="en-US" w:eastAsia="zh-CN"/>
        </w:rPr>
      </w:pPr>
      <w:bookmarkStart w:id="435" w:name="_Toc20866"/>
      <w:r>
        <w:rPr>
          <w:rFonts w:hint="eastAsia"/>
        </w:rPr>
        <w:t>图</w:t>
      </w:r>
      <w:r>
        <w:rPr>
          <w:rFonts w:hint="eastAsia"/>
          <w:lang w:val="en-US" w:eastAsia="zh-CN"/>
        </w:rPr>
        <w:t xml:space="preserve">18 </w:t>
      </w:r>
      <w:r>
        <w:rPr>
          <w:rFonts w:hint="eastAsia"/>
        </w:rPr>
        <w:t>非遗+科技，陶瓷3D打印科技助力非遗陶艺焕发新光彩</w:t>
      </w:r>
      <w:bookmarkEnd w:id="435"/>
    </w:p>
    <w:p w14:paraId="30170FE5">
      <w:pPr>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小标宋_GBK" w:cs="Times New Roman"/>
          <w:bCs/>
          <w:color w:val="auto"/>
          <w:kern w:val="44"/>
          <w:sz w:val="44"/>
          <w:szCs w:val="44"/>
          <w:shd w:val="clear" w:color="auto" w:fill="FFFFFF"/>
          <w:lang w:val="en-US" w:eastAsia="zh-CN" w:bidi="ar-SA"/>
        </w:rPr>
        <w:br w:type="page"/>
      </w:r>
    </w:p>
    <w:p w14:paraId="447E8078">
      <w:pPr>
        <w:pStyle w:val="41"/>
        <w:bidi w:val="0"/>
        <w:rPr>
          <w:rFonts w:hint="eastAsia"/>
          <w:sz w:val="32"/>
          <w:szCs w:val="32"/>
          <w:lang w:val="en-US" w:eastAsia="zh-CN"/>
        </w:rPr>
      </w:pPr>
      <w:bookmarkStart w:id="436" w:name="_Toc192"/>
      <w:bookmarkStart w:id="437" w:name="_Toc2086"/>
      <w:bookmarkStart w:id="438" w:name="_Toc3784"/>
      <w:r>
        <w:rPr>
          <w:rFonts w:hint="eastAsia"/>
          <w:sz w:val="32"/>
          <w:szCs w:val="32"/>
          <w:lang w:val="en-US" w:eastAsia="zh-CN"/>
        </w:rPr>
        <w:t>案例14：工匠文化打造“龙门工匠”</w:t>
      </w:r>
      <w:bookmarkEnd w:id="436"/>
      <w:bookmarkEnd w:id="437"/>
      <w:bookmarkEnd w:id="438"/>
    </w:p>
    <w:p w14:paraId="0434B198">
      <w:pPr>
        <w:pageBreakBefore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方正小标宋_GBK" w:cs="Times New Roman"/>
          <w:bCs/>
          <w:color w:val="auto"/>
          <w:kern w:val="44"/>
          <w:sz w:val="44"/>
          <w:szCs w:val="44"/>
          <w:shd w:val="clear" w:color="auto" w:fill="FFFFFF"/>
          <w:lang w:val="en-US" w:eastAsia="zh-CN" w:bidi="ar-SA"/>
        </w:rPr>
      </w:pPr>
    </w:p>
    <w:p w14:paraId="76202BFF">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7781A33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执着专注、精益求精、一丝不苟、追求卓越的工匠精神是鼓励中职学生提升专业能力和职业素养的强大精神动力。重庆市龙门浩职业中学校始终坚持工匠精神的引领，以培育工匠文化为着力点打造社会主义新时代“龙门工匠”。</w:t>
      </w:r>
    </w:p>
    <w:p w14:paraId="16164AB2">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0476391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培育执着专注的价值文化。重庆市龙门浩职业中学校形成了“执着于心，专注于行”的校园文化，将“工匠文化”渗透进校园环境设计当中，筑造“匠魂”石雕等13处景观，开展“劳模、工匠进校园”等活动，在学校中营造培育工匠文化的浓厚氛围，打造新时代“龙门工匠”。</w:t>
      </w:r>
    </w:p>
    <w:p w14:paraId="7366C92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培育精益求精的数智文化。重庆市龙门浩职业中学校始终秉持建设智慧教室、数字化实验实训室、虚拟仿真学习平台等27处数字化教学环境设施，提供个性化学习、精细化服务，满足不同专业、不同阶段学生的需求。</w:t>
      </w:r>
    </w:p>
    <w:p w14:paraId="0044FD9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培育追求卓越的社团文化。重庆市龙门浩职业中学校将工匠文化的培育融入到学生社团的建设与发展的过程中，营造开放包容的氛围，鼓励多元思维和创新想法，尊重每个成员的独特性。例如，南山陶艺非遗工作室、九佰度金属首饰工艺社等众多独具专业特色的社团广泛开展社团活动，目前已吸纳上百名学生参与加入。</w:t>
      </w:r>
    </w:p>
    <w:p w14:paraId="6E916B7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培育一丝不苟的课程文化。重庆市龙门浩职业中学校在产教融合的基础上，与企业共建了颗粒化集群式教学资源，遵循“碎片化资源、结构化课程、系统化设计”原则，打造独具特色的“龙门课堂”。</w:t>
      </w:r>
    </w:p>
    <w:p w14:paraId="418DA657">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1A505145">
      <w:pPr>
        <w:ind w:firstLine="150" w:firstLineChars="50"/>
        <w:jc w:val="center"/>
        <w:rPr>
          <w:rFonts w:ascii="Arial" w:hAnsi="Arial" w:eastAsia="方正仿宋_GB2312"/>
          <w:color w:val="auto"/>
          <w:sz w:val="30"/>
        </w:rPr>
      </w:pPr>
      <w:r>
        <w:rPr>
          <w:rFonts w:ascii="Arial" w:hAnsi="Arial" w:eastAsia="方正仿宋_GB2312"/>
          <w:color w:val="auto"/>
          <w:sz w:val="30"/>
        </w:rPr>
        <w:drawing>
          <wp:inline distT="0" distB="0" distL="114300" distR="114300">
            <wp:extent cx="5156200" cy="3433445"/>
            <wp:effectExtent l="0" t="0" r="6350" b="14605"/>
            <wp:docPr id="107" name="图片 38" descr="D:\新建文件夹\2024.11.27职业教育质量年度报告\图片\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descr="D:\新建文件夹\2024.11.27职业教育质量年度报告\图片\26.jpg"/>
                    <pic:cNvPicPr>
                      <a:picLocks noChangeAspect="1"/>
                    </pic:cNvPicPr>
                  </pic:nvPicPr>
                  <pic:blipFill>
                    <a:blip r:embed="rId27"/>
                    <a:stretch>
                      <a:fillRect/>
                    </a:stretch>
                  </pic:blipFill>
                  <pic:spPr>
                    <a:xfrm>
                      <a:off x="0" y="0"/>
                      <a:ext cx="5156200" cy="3433445"/>
                    </a:xfrm>
                    <a:prstGeom prst="rect">
                      <a:avLst/>
                    </a:prstGeom>
                    <a:noFill/>
                    <a:ln>
                      <a:noFill/>
                    </a:ln>
                  </pic:spPr>
                </pic:pic>
              </a:graphicData>
            </a:graphic>
          </wp:inline>
        </w:drawing>
      </w:r>
    </w:p>
    <w:p w14:paraId="36C45B85">
      <w:pPr>
        <w:pStyle w:val="18"/>
        <w:bidi w:val="0"/>
        <w:rPr>
          <w:rFonts w:hint="eastAsia"/>
        </w:rPr>
      </w:pPr>
      <w:bookmarkStart w:id="439" w:name="_Toc20336"/>
      <w:r>
        <w:rPr>
          <w:rFonts w:hint="eastAsia"/>
          <w:lang w:val="en-US" w:eastAsia="zh-CN"/>
        </w:rPr>
        <w:t xml:space="preserve">图19 </w:t>
      </w:r>
      <w:r>
        <w:rPr>
          <w:rFonts w:hint="eastAsia"/>
        </w:rPr>
        <w:t>学校开展“劳模工匠进校园”活动</w:t>
      </w:r>
      <w:bookmarkEnd w:id="439"/>
    </w:p>
    <w:p w14:paraId="0068949F">
      <w:pPr>
        <w:rPr>
          <w:rFonts w:hint="eastAsia"/>
        </w:rPr>
      </w:pPr>
    </w:p>
    <w:p w14:paraId="097DC844">
      <w:pPr>
        <w:rPr>
          <w:rFonts w:hint="eastAsia"/>
        </w:rPr>
      </w:pPr>
    </w:p>
    <w:p w14:paraId="4A0E2C66">
      <w:pPr>
        <w:rPr>
          <w:rFonts w:hint="eastAsia"/>
        </w:rPr>
      </w:pPr>
    </w:p>
    <w:p w14:paraId="27895B02">
      <w:pPr>
        <w:rPr>
          <w:rFonts w:hint="eastAsia"/>
        </w:rPr>
      </w:pPr>
    </w:p>
    <w:p w14:paraId="79271669">
      <w:pPr>
        <w:rPr>
          <w:rFonts w:hint="eastAsia"/>
        </w:rPr>
      </w:pPr>
    </w:p>
    <w:p w14:paraId="19CB3DD1">
      <w:pPr>
        <w:rPr>
          <w:rFonts w:hint="eastAsia"/>
        </w:rPr>
      </w:pPr>
    </w:p>
    <w:p w14:paraId="562216E5">
      <w:pPr>
        <w:rPr>
          <w:rFonts w:hint="eastAsia"/>
        </w:rPr>
      </w:pPr>
    </w:p>
    <w:p w14:paraId="4FA192E8">
      <w:pPr>
        <w:rPr>
          <w:rFonts w:hint="eastAsia"/>
          <w:lang w:val="en-US" w:eastAsia="zh-CN"/>
        </w:rPr>
      </w:pPr>
      <w:r>
        <w:rPr>
          <w:rFonts w:ascii="Arial" w:hAnsi="Arial" w:eastAsia="方正仿宋_GB2312"/>
          <w:color w:val="auto"/>
          <w:sz w:val="30"/>
        </w:rPr>
        <w:drawing>
          <wp:anchor distT="0" distB="0" distL="114300" distR="114300" simplePos="0" relativeHeight="251661312" behindDoc="0" locked="0" layoutInCell="1" allowOverlap="1">
            <wp:simplePos x="0" y="0"/>
            <wp:positionH relativeFrom="column">
              <wp:posOffset>238760</wp:posOffset>
            </wp:positionH>
            <wp:positionV relativeFrom="paragraph">
              <wp:posOffset>75565</wp:posOffset>
            </wp:positionV>
            <wp:extent cx="5177155" cy="3548380"/>
            <wp:effectExtent l="0" t="0" r="4445" b="13970"/>
            <wp:wrapSquare wrapText="bothSides"/>
            <wp:docPr id="111" name="图片 1982065171" descr="D:\新建文件夹\2024.11.27职业教育质量年度报告\图片\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982065171" descr="D:\新建文件夹\2024.11.27职业教育质量年度报告\图片\27.jpg"/>
                    <pic:cNvPicPr>
                      <a:picLocks noChangeAspect="1"/>
                    </pic:cNvPicPr>
                  </pic:nvPicPr>
                  <pic:blipFill>
                    <a:blip r:embed="rId28"/>
                    <a:stretch>
                      <a:fillRect/>
                    </a:stretch>
                  </pic:blipFill>
                  <pic:spPr>
                    <a:xfrm>
                      <a:off x="0" y="0"/>
                      <a:ext cx="5177155" cy="3548380"/>
                    </a:xfrm>
                    <a:prstGeom prst="rect">
                      <a:avLst/>
                    </a:prstGeom>
                    <a:noFill/>
                    <a:ln>
                      <a:noFill/>
                    </a:ln>
                  </pic:spPr>
                </pic:pic>
              </a:graphicData>
            </a:graphic>
          </wp:anchor>
        </w:drawing>
      </w:r>
    </w:p>
    <w:p w14:paraId="4F11880D">
      <w:pPr>
        <w:pStyle w:val="18"/>
        <w:bidi w:val="0"/>
      </w:pPr>
      <w:bookmarkStart w:id="440" w:name="_Toc21479"/>
      <w:bookmarkStart w:id="441" w:name="_Toc17772"/>
      <w:bookmarkStart w:id="442" w:name="_Toc10063"/>
      <w:r>
        <w:rPr>
          <w:rFonts w:hint="eastAsia"/>
        </w:rPr>
        <w:t>图</w:t>
      </w:r>
      <w:r>
        <w:rPr>
          <w:rFonts w:hint="eastAsia"/>
          <w:lang w:val="en-US" w:eastAsia="zh-CN"/>
        </w:rPr>
        <w:t xml:space="preserve">20 </w:t>
      </w:r>
      <w:r>
        <w:rPr>
          <w:rFonts w:hint="eastAsia"/>
        </w:rPr>
        <w:t>社团学生正在精心打造制作金属首饰</w:t>
      </w:r>
      <w:bookmarkEnd w:id="440"/>
      <w:bookmarkEnd w:id="441"/>
      <w:bookmarkEnd w:id="442"/>
    </w:p>
    <w:p w14:paraId="240FA977">
      <w:pPr>
        <w:pageBreakBefore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方正小标宋_GBK" w:cs="Times New Roman"/>
          <w:bCs/>
          <w:color w:val="auto"/>
          <w:kern w:val="44"/>
          <w:sz w:val="44"/>
          <w:szCs w:val="44"/>
          <w:shd w:val="clear" w:color="auto" w:fill="FFFFFF"/>
          <w:lang w:val="en-US" w:eastAsia="zh-CN" w:bidi="ar-SA"/>
        </w:rPr>
      </w:pPr>
    </w:p>
    <w:p w14:paraId="3DEE4FB0">
      <w:pPr>
        <w:outlineLvl w:val="9"/>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小标宋_GBK" w:cs="Times New Roman"/>
          <w:bCs/>
          <w:color w:val="auto"/>
          <w:kern w:val="44"/>
          <w:sz w:val="44"/>
          <w:szCs w:val="44"/>
          <w:shd w:val="clear" w:color="auto" w:fill="FFFFFF"/>
          <w:lang w:val="en-US" w:eastAsia="zh-CN" w:bidi="ar-SA"/>
        </w:rPr>
        <w:br w:type="page"/>
      </w:r>
    </w:p>
    <w:p w14:paraId="3D6E22BF">
      <w:pPr>
        <w:pStyle w:val="41"/>
        <w:bidi w:val="0"/>
        <w:rPr>
          <w:rFonts w:hint="eastAsia"/>
          <w:sz w:val="32"/>
          <w:szCs w:val="32"/>
          <w:lang w:val="en-US" w:eastAsia="zh-CN"/>
        </w:rPr>
      </w:pPr>
      <w:bookmarkStart w:id="443" w:name="_Toc5462"/>
      <w:bookmarkStart w:id="444" w:name="_Toc27923"/>
      <w:bookmarkStart w:id="445" w:name="_Toc18522"/>
      <w:r>
        <w:rPr>
          <w:rFonts w:hint="eastAsia"/>
          <w:sz w:val="32"/>
          <w:szCs w:val="32"/>
          <w:lang w:val="en-US" w:eastAsia="zh-CN"/>
        </w:rPr>
        <w:t>案例15：传承红岩精神，铸就新时代职教典范</w:t>
      </w:r>
      <w:bookmarkEnd w:id="443"/>
      <w:bookmarkEnd w:id="444"/>
      <w:bookmarkEnd w:id="445"/>
    </w:p>
    <w:p w14:paraId="0C6608B4">
      <w:pPr>
        <w:pageBreakBefore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方正小标宋_GBK" w:cs="Times New Roman"/>
          <w:bCs/>
          <w:color w:val="auto"/>
          <w:kern w:val="44"/>
          <w:sz w:val="44"/>
          <w:szCs w:val="44"/>
          <w:shd w:val="clear" w:color="auto" w:fill="FFFFFF"/>
          <w:lang w:val="en-US" w:eastAsia="zh-CN" w:bidi="ar-SA"/>
        </w:rPr>
      </w:pPr>
    </w:p>
    <w:p w14:paraId="1BA8F1B7">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381F46B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红岩精神是培养学生爱国主义和奉献精神重要的内容，</w:t>
      </w: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学校组织专家学者深入研究其历史背景和内涵，为思政教育提供了坚实的理论基础。</w:t>
      </w:r>
    </w:p>
    <w:p w14:paraId="23AEEEB8">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241330F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在课程设置上，学校不仅开设了红岩精神专题课程和青春第二课堂，还开发了一系列红色资源，如红岩遗迹、读本等，丰富校本课程体系。各专业部将红岩精神融入实际教学：财经商贸部通过直播带货项目弘扬红岩精神；旅游管理部与红岩联线合作实习；艺术设计部将红岩元素融入作品；机电部利用3D打印技术制作文创产品；计算机部建立了“VR+红色教育”基地。这些实践让学生在学习专业知识的同时，深刻体会并传承红岩精神。</w:t>
      </w:r>
    </w:p>
    <w:p w14:paraId="6109459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校创新性地提出了“一讲二动”的路径，即通过讲座和活动传播红岩精神。邀请专家举办专题讲座，组织学生参观革命纪念馆，并开展演讲比赛、征文比赛等活动，鼓励学生参与志愿服务和社会实践。教师们以身作则，在日常教学活动中言传身教，定期接受培训，提升思政素养和教育教学水平。</w:t>
      </w:r>
    </w:p>
    <w:p w14:paraId="2CC0099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08D1E1D3">
      <w:pPr>
        <w:spacing w:line="360" w:lineRule="auto"/>
        <w:jc w:val="center"/>
        <w:rPr>
          <w:rFonts w:ascii="Arial" w:hAnsi="Arial" w:eastAsia="方正仿宋_GB2312"/>
          <w:color w:val="auto"/>
          <w:sz w:val="30"/>
        </w:rPr>
      </w:pPr>
      <w:r>
        <w:rPr>
          <w:rFonts w:ascii="Arial" w:hAnsi="Arial" w:eastAsia="方正仿宋_GB2312"/>
          <w:color w:val="auto"/>
          <w:sz w:val="30"/>
        </w:rPr>
        <w:drawing>
          <wp:inline distT="0" distB="0" distL="114300" distR="114300">
            <wp:extent cx="5262880" cy="3249295"/>
            <wp:effectExtent l="0" t="0" r="13970" b="8255"/>
            <wp:docPr id="112" name="图片 39" descr="D:\新建文件夹\2024.11.27职业教育质量年度报告\图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9" descr="D:\新建文件夹\2024.11.27职业教育质量年度报告\图片\31.jpg"/>
                    <pic:cNvPicPr>
                      <a:picLocks noChangeAspect="1"/>
                    </pic:cNvPicPr>
                  </pic:nvPicPr>
                  <pic:blipFill>
                    <a:blip r:embed="rId29"/>
                    <a:stretch>
                      <a:fillRect/>
                    </a:stretch>
                  </pic:blipFill>
                  <pic:spPr>
                    <a:xfrm>
                      <a:off x="0" y="0"/>
                      <a:ext cx="5262880" cy="3249295"/>
                    </a:xfrm>
                    <a:prstGeom prst="rect">
                      <a:avLst/>
                    </a:prstGeom>
                    <a:noFill/>
                    <a:ln>
                      <a:noFill/>
                    </a:ln>
                  </pic:spPr>
                </pic:pic>
              </a:graphicData>
            </a:graphic>
          </wp:inline>
        </w:drawing>
      </w:r>
    </w:p>
    <w:p w14:paraId="33431C29">
      <w:pPr>
        <w:pStyle w:val="18"/>
        <w:bidi w:val="0"/>
        <w:rPr>
          <w:rFonts w:hint="eastAsia"/>
          <w:lang w:val="en-US" w:eastAsia="zh-CN"/>
        </w:rPr>
      </w:pPr>
      <w:bookmarkStart w:id="446" w:name="_Toc14764"/>
      <w:r>
        <w:rPr>
          <w:rFonts w:hint="eastAsia"/>
        </w:rPr>
        <w:t>图</w:t>
      </w:r>
      <w:r>
        <w:rPr>
          <w:rFonts w:hint="eastAsia"/>
          <w:lang w:val="en-US" w:eastAsia="zh-CN"/>
        </w:rPr>
        <w:t xml:space="preserve">21 </w:t>
      </w:r>
      <w:r>
        <w:rPr>
          <w:rFonts w:hint="eastAsia"/>
        </w:rPr>
        <w:t>烈士殉难7</w:t>
      </w:r>
      <w:r>
        <w:t>0</w:t>
      </w:r>
      <w:r>
        <w:rPr>
          <w:rFonts w:hint="eastAsia"/>
        </w:rPr>
        <w:t>周年祭扫活动红岩诗文朗诵获重庆市一等奖</w:t>
      </w:r>
      <w:bookmarkEnd w:id="446"/>
    </w:p>
    <w:p w14:paraId="323E222A">
      <w:pPr>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小标宋_GBK" w:cs="Times New Roman"/>
          <w:bCs/>
          <w:color w:val="auto"/>
          <w:kern w:val="44"/>
          <w:sz w:val="44"/>
          <w:szCs w:val="44"/>
          <w:shd w:val="clear" w:color="auto" w:fill="FFFFFF"/>
          <w:lang w:val="en-US" w:eastAsia="zh-CN" w:bidi="ar-SA"/>
        </w:rPr>
        <w:br w:type="page"/>
      </w:r>
    </w:p>
    <w:p w14:paraId="74B4DB6C">
      <w:pPr>
        <w:pStyle w:val="41"/>
        <w:bidi w:val="0"/>
        <w:rPr>
          <w:rFonts w:hint="eastAsia"/>
          <w:sz w:val="32"/>
          <w:szCs w:val="32"/>
          <w:lang w:val="en-US" w:eastAsia="zh-CN"/>
        </w:rPr>
      </w:pPr>
      <w:bookmarkStart w:id="447" w:name="_Toc15242"/>
      <w:bookmarkStart w:id="448" w:name="_Toc14295"/>
      <w:bookmarkStart w:id="449" w:name="_Toc7212"/>
      <w:r>
        <w:rPr>
          <w:rFonts w:hint="eastAsia"/>
          <w:sz w:val="32"/>
          <w:szCs w:val="32"/>
          <w:lang w:val="en-US" w:eastAsia="zh-CN"/>
        </w:rPr>
        <w:t>案例16：标准明方向，开发正启程</w:t>
      </w:r>
      <w:bookmarkEnd w:id="447"/>
      <w:bookmarkEnd w:id="448"/>
      <w:bookmarkEnd w:id="449"/>
    </w:p>
    <w:p w14:paraId="23132105">
      <w:pPr>
        <w:pageBreakBefore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方正小标宋_GBK" w:cs="Times New Roman"/>
          <w:bCs/>
          <w:color w:val="auto"/>
          <w:kern w:val="44"/>
          <w:sz w:val="44"/>
          <w:szCs w:val="44"/>
          <w:shd w:val="clear" w:color="auto" w:fill="FFFFFF"/>
          <w:lang w:val="en-US" w:eastAsia="zh-CN" w:bidi="ar-SA"/>
        </w:rPr>
      </w:pPr>
    </w:p>
    <w:p w14:paraId="381A606F">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6CD9757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重庆市龙门浩职业中学校积极响应国家“一带一路”倡议，于2023年被批准为“一带一路暨金砖国家技能发展国际联盟大数据和人工智能专业委员会”副主任委员单位。2024年，重庆市龙门浩职业中学校进一步作为金砖国家团体标准“数据分析与可视化赛项”起草工作组技能标准主编单位，联合国内外多所院校及企业，共同推进金砖国家职业技能大赛数据分析与可视化团体标准的开发工作。</w:t>
      </w:r>
    </w:p>
    <w:p w14:paraId="493601A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57DDED6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本项目旨在通过国际合作，开发一套适用于未来技能发展的职业能力标准、课程标准和竞赛标准，为金砖国家间实施国际技能护照做好准备。这将有助于实现国际化“岗、课、赛、证”人才培养和交流模式，贯彻和落实金砖国家“北京宣言”的目标，对于培养具有国际视野的技术人才具有重要意义。</w:t>
      </w:r>
    </w:p>
    <w:p w14:paraId="358FC70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1FFDC0B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本项目的实施，不仅加强了重庆市龙门浩职业中学校与金砖国家及一带一路沿线国家在技能发展与技术创新领域的合作，也为我国职业教育的国际化发展提供了新的思路和实践案例。通过国际合作，共同培养具有国际视野的技术人才，服务国家创新驱动发展战略和“一带一路”倡议，引导教育链、人才链和产业链的有机结合，促进金砖国家、一带一路国家及国际经济社会发展。</w:t>
      </w:r>
    </w:p>
    <w:p w14:paraId="7EEDCA10">
      <w:pPr>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小标宋_GBK" w:cs="Times New Roman"/>
          <w:bCs/>
          <w:color w:val="auto"/>
          <w:kern w:val="44"/>
          <w:sz w:val="44"/>
          <w:szCs w:val="44"/>
          <w:shd w:val="clear" w:color="auto" w:fill="FFFFFF"/>
          <w:lang w:val="en-US" w:eastAsia="zh-CN" w:bidi="ar-SA"/>
        </w:rPr>
        <w:br w:type="page"/>
      </w:r>
    </w:p>
    <w:p w14:paraId="48CF865D">
      <w:pPr>
        <w:pStyle w:val="41"/>
        <w:bidi w:val="0"/>
        <w:rPr>
          <w:rFonts w:hint="eastAsia"/>
          <w:sz w:val="32"/>
          <w:szCs w:val="32"/>
          <w:lang w:val="en-US" w:eastAsia="zh-CN"/>
        </w:rPr>
      </w:pPr>
      <w:bookmarkStart w:id="450" w:name="_Toc6321"/>
      <w:r>
        <w:rPr>
          <w:rFonts w:hint="eastAsia"/>
          <w:sz w:val="32"/>
          <w:szCs w:val="32"/>
          <w:lang w:val="en-US" w:eastAsia="zh-CN"/>
        </w:rPr>
        <w:t>案例17：金砖聚智，数据生辉：引领国际技能标准新篇章</w:t>
      </w:r>
      <w:bookmarkEnd w:id="450"/>
    </w:p>
    <w:p w14:paraId="572F41C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bCs/>
          <w:color w:val="auto"/>
          <w:kern w:val="44"/>
          <w:szCs w:val="44"/>
          <w:shd w:val="clear" w:color="auto" w:fill="FFFFFF"/>
          <w:lang w:val="en-US" w:eastAsia="zh-CN" w:bidi="ar-SA"/>
        </w:rPr>
      </w:pPr>
    </w:p>
    <w:p w14:paraId="34531592">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2622555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重庆市龙门浩职业中学校通过国际合作，共同培养具有国际视野的技术人才，服务国家创新驱动发展战略和“一带一路”倡议，引导教育链、人才链和产业链的有机结合，促进金砖国家、一带一路国家及国际经济社会发展。</w:t>
      </w:r>
    </w:p>
    <w:p w14:paraId="0E7151E2">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41AAE80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校联合全国73所院校，南非3所院校，俄罗斯1所院校，以及国内知名大数据企业，在“一带一路暨金砖国家技能发展国际联盟”、“金砖国家工商理事会（中方）技能发展工作组”和“金砖技能标准化工作委员会”的指导下，启动了金砖国家职业技能大赛数据分析与可视化团体标准的开发工作。</w:t>
      </w:r>
    </w:p>
    <w:p w14:paraId="0496421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金砖数据分析与可视化大赛已连续举办4届，吸引了来自俄罗斯、南非、巴西、印度、柬埔寨、马来西亚、巴基斯坦等金砖及一带一路沿线国家外籍学生参赛，相关技能标准、竞赛标准、课程标准在竞赛和大赛国际训练营中连续4年得到应用。</w:t>
      </w:r>
    </w:p>
    <w:p w14:paraId="15BFCD8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38826F8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仿宋_GBK" w:cs="Times New Roman"/>
          <w:bCs w:val="0"/>
          <w:spacing w:val="0"/>
          <w:kern w:val="2"/>
          <w:sz w:val="32"/>
          <w:szCs w:val="32"/>
          <w:lang w:val="en-US" w:eastAsia="zh-CN" w:bidi="ar-SA"/>
        </w:rPr>
        <w:t>重庆市龙门浩职业中学校参编金砖国家团体标准《数据分析与可视化》，与国内外多所院校及企业建立了合作关系，共同开发职业培训课程，推动技术创新等多项合作，促进共同繁荣与发展。学校积极参加一带一路暨金砖技能发展与技术创新大赛，学生获二等奖一次，一等奖一次，学校获最佳组织奖。</w:t>
      </w:r>
    </w:p>
    <w:p w14:paraId="1114B5FB">
      <w:pPr>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小标宋_GBK" w:cs="Times New Roman"/>
          <w:bCs/>
          <w:color w:val="auto"/>
          <w:kern w:val="44"/>
          <w:sz w:val="44"/>
          <w:szCs w:val="44"/>
          <w:shd w:val="clear" w:color="auto" w:fill="FFFFFF"/>
          <w:lang w:val="en-US" w:eastAsia="zh-CN" w:bidi="ar-SA"/>
        </w:rPr>
        <w:br w:type="page"/>
      </w:r>
    </w:p>
    <w:p w14:paraId="143BCE6B">
      <w:pPr>
        <w:pStyle w:val="41"/>
        <w:bidi w:val="0"/>
        <w:rPr>
          <w:rFonts w:hint="eastAsia"/>
          <w:sz w:val="32"/>
          <w:szCs w:val="32"/>
          <w:lang w:val="en-US" w:eastAsia="zh-CN"/>
        </w:rPr>
      </w:pPr>
      <w:bookmarkStart w:id="451" w:name="_Toc24326"/>
      <w:r>
        <w:rPr>
          <w:rFonts w:hint="eastAsia"/>
          <w:sz w:val="32"/>
          <w:szCs w:val="32"/>
          <w:lang w:val="en-US" w:eastAsia="zh-CN"/>
        </w:rPr>
        <w:t>案例18：世赛工业机械项目重庆集训基地建设与创新实践</w:t>
      </w:r>
      <w:bookmarkEnd w:id="451"/>
    </w:p>
    <w:p w14:paraId="5F6B53E0">
      <w:pPr>
        <w:pageBreakBefore w:val="0"/>
        <w:wordWrap/>
        <w:overflowPunct/>
        <w:topLinePunct w:val="0"/>
        <w:bidi w:val="0"/>
        <w:spacing w:line="360" w:lineRule="auto"/>
        <w:jc w:val="center"/>
        <w:rPr>
          <w:rFonts w:hint="eastAsia" w:ascii="Times New Roman" w:hAnsi="Times New Roman" w:eastAsia="方正小标宋_GBK" w:cs="Times New Roman"/>
          <w:bCs/>
          <w:color w:val="auto"/>
          <w:kern w:val="44"/>
          <w:szCs w:val="44"/>
          <w:shd w:val="clear" w:color="auto" w:fill="FFFFFF"/>
          <w:lang w:val="en-US" w:eastAsia="zh-CN" w:bidi="ar-SA"/>
        </w:rPr>
      </w:pPr>
    </w:p>
    <w:p w14:paraId="4F3EB332">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62ABD47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重庆市龙门浩职业中学校成功申报建设世界技能大赛工业机械项目重庆集训基地，现建有机加工实训室、机械装调训室、电气实训室、气动实训室、焊接加工实训室等，共计1500余平米，设备总值达450万元。</w:t>
      </w:r>
    </w:p>
    <w:p w14:paraId="6825BE1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666BB717">
      <w:pPr>
        <w:pStyle w:val="13"/>
        <w:spacing w:before="41" w:line="356" w:lineRule="auto"/>
        <w:ind w:left="36" w:right="120" w:firstLine="55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根据学校机电专业部智能制造专业群的现有开设专业、师资和设备，结合国家级技能人才培训基地制定出符合学校长期发展规划。通过集训，培养选拔出优秀参赛选手，代表重庆参加世界技能大赛全国选拔赛，目标入围国家集训队。</w:t>
      </w:r>
    </w:p>
    <w:p w14:paraId="0700764B">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14B457CD">
      <w:pPr>
        <w:pStyle w:val="13"/>
        <w:spacing w:before="41" w:line="356" w:lineRule="auto"/>
        <w:ind w:left="36" w:right="120" w:firstLine="550"/>
        <w:rPr>
          <w:rFonts w:hint="eastAsia" w:ascii="Times New Roman" w:hAnsi="Times New Roman" w:eastAsia="方正小标宋_GBK" w:cs="Times New Roman"/>
          <w:bCs/>
          <w:color w:val="auto"/>
          <w:kern w:val="44"/>
          <w:sz w:val="44"/>
          <w:szCs w:val="44"/>
          <w:shd w:val="clear"/>
          <w:lang w:val="en-US" w:eastAsia="zh-CN" w:bidi="ar-SA"/>
        </w:rPr>
      </w:pPr>
      <w:r>
        <w:rPr>
          <w:rFonts w:hint="eastAsia" w:ascii="Times New Roman" w:hAnsi="Times New Roman" w:eastAsia="方正仿宋_GBK" w:cs="Times New Roman"/>
          <w:bCs w:val="0"/>
          <w:spacing w:val="0"/>
          <w:kern w:val="2"/>
          <w:sz w:val="32"/>
          <w:szCs w:val="32"/>
          <w:lang w:val="en-US" w:eastAsia="zh-CN" w:bidi="ar-SA"/>
        </w:rPr>
        <w:t>编写教材《CAD机械设计》、《电工电子技能》等。中华人民共和国第一届职业技能大赛选手江治毫获得第14名。首届“川渝杯”职业院校大赛零部件测绘项目第一名；孙杜涵、李坤宇获第四届全国智能制造应用技术技能大赛“模具工”赛项重庆赛区选拔赛第二名；郑鑫成获巴渝工匠”杯重庆市第十届青年职业技能大赛车工项目第五名。2023年基地梯队选手参加中华人民共和国第二届职业技能大赛重庆选拔赛成绩，参加赛项10个，共获奖20人，其中第一名1人、第二名3人、第四至六名4人、优胜奖12人，进入重庆市各集训队前10名共16人，进入国赛3人均获得优胜奖（参赛选手前50%）。基地老师钟佐龙、徐永杰分别获全国新职业技术技能大赛重庆市选拔赛第一、二名。</w:t>
      </w:r>
    </w:p>
    <w:p w14:paraId="3D1BB225">
      <w:pPr>
        <w:rPr>
          <w:rFonts w:hint="eastAsia" w:ascii="Times New Roman" w:hAnsi="Times New Roman" w:eastAsia="方正小标宋_GBK" w:cs="Times New Roman"/>
          <w:bCs/>
          <w:color w:val="auto"/>
          <w:kern w:val="44"/>
          <w:sz w:val="44"/>
          <w:szCs w:val="44"/>
          <w:shd w:val="clear"/>
          <w:lang w:val="en-US" w:eastAsia="zh-CN" w:bidi="ar-SA"/>
        </w:rPr>
      </w:pPr>
      <w:r>
        <w:rPr>
          <w:rFonts w:hint="eastAsia" w:ascii="Times New Roman" w:hAnsi="Times New Roman" w:eastAsia="方正小标宋_GBK" w:cs="Times New Roman"/>
          <w:bCs/>
          <w:color w:val="auto"/>
          <w:kern w:val="44"/>
          <w:sz w:val="44"/>
          <w:szCs w:val="44"/>
          <w:shd w:val="clear"/>
          <w:lang w:val="en-US" w:eastAsia="zh-CN" w:bidi="ar-SA"/>
        </w:rPr>
        <w:br w:type="page"/>
      </w:r>
    </w:p>
    <w:p w14:paraId="43D80A7C">
      <w:pPr>
        <w:pStyle w:val="41"/>
        <w:bidi w:val="0"/>
        <w:rPr>
          <w:rFonts w:hint="eastAsia"/>
          <w:lang w:val="en-US" w:eastAsia="zh-CN"/>
        </w:rPr>
      </w:pPr>
      <w:bookmarkStart w:id="452" w:name="_Toc23883"/>
      <w:bookmarkStart w:id="453" w:name="_Toc9083"/>
      <w:bookmarkStart w:id="454" w:name="_Toc5513"/>
      <w:bookmarkStart w:id="455" w:name="_Toc29260"/>
      <w:bookmarkStart w:id="456" w:name="_Toc16993"/>
      <w:r>
        <w:rPr>
          <w:rFonts w:hint="eastAsia"/>
          <w:lang w:val="en-US" w:eastAsia="zh-CN"/>
        </w:rPr>
        <w:t>案例19：扎实推进“以案为鉴、以案促改、以案促治”工作</w:t>
      </w:r>
      <w:bookmarkEnd w:id="452"/>
      <w:bookmarkEnd w:id="453"/>
      <w:bookmarkEnd w:id="454"/>
      <w:bookmarkEnd w:id="455"/>
      <w:bookmarkEnd w:id="456"/>
    </w:p>
    <w:p w14:paraId="7E45EF84">
      <w:pPr>
        <w:rPr>
          <w:rFonts w:hint="eastAsia"/>
          <w:lang w:val="en-US" w:eastAsia="zh-CN"/>
        </w:rPr>
      </w:pPr>
    </w:p>
    <w:p w14:paraId="407B125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6B30D955">
      <w:pPr>
        <w:pStyle w:val="13"/>
        <w:spacing w:before="41" w:line="356" w:lineRule="auto"/>
        <w:ind w:left="36" w:right="120" w:firstLine="55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为深入贯彻全面从严治党的战略部署，重庆市龙门浩职业中学以全链条的思维和坚定的决心，扎实推进以案为鉴、以案促改、以案促治工作。</w:t>
      </w:r>
    </w:p>
    <w:p w14:paraId="424B2AA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18A37DAB">
      <w:pPr>
        <w:pStyle w:val="13"/>
        <w:spacing w:before="41" w:line="356" w:lineRule="auto"/>
        <w:ind w:left="36" w:right="120" w:firstLine="55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为确保以案促改、以案促治工作的顺利开展和有效落实，学校成立促改促治工作领导小组，由校党委书记韩勇和校党委副书记、校长周伟任组长，领导小组负责全面统筹协调、督促指导和监督检查此项工作，定期召开校党委会进行调度，实行周报告、月调度、年度总结的工作制度。为切实推动问题整改，制定了《以案促改、以案促治工作方案》，明确了六大核心目标任务，提出13项具体整改要求，形成整改任务清单，清单中明确了各项任务的责任主体、具体事项以及完成时限，并组织全校教职工进行了系统学习，确保整改工作能够责任化、事项化、时限化地推进。</w:t>
      </w:r>
    </w:p>
    <w:p w14:paraId="33EF4BFB">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073190CF">
      <w:pPr>
        <w:pStyle w:val="13"/>
        <w:spacing w:before="41" w:line="356" w:lineRule="auto"/>
        <w:ind w:left="36" w:right="120" w:firstLine="55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eastAsia="方正仿宋_GBK" w:cs="Times New Roman"/>
          <w:bCs w:val="0"/>
          <w:spacing w:val="0"/>
          <w:kern w:val="2"/>
          <w:sz w:val="32"/>
          <w:szCs w:val="32"/>
          <w:lang w:val="en-US" w:eastAsia="zh-CN" w:bidi="ar-SA"/>
        </w:rPr>
        <w:t>学校</w:t>
      </w:r>
      <w:r>
        <w:rPr>
          <w:rFonts w:hint="eastAsia" w:ascii="Times New Roman" w:hAnsi="Times New Roman" w:eastAsia="方正仿宋_GBK" w:cs="Times New Roman"/>
          <w:bCs w:val="0"/>
          <w:spacing w:val="0"/>
          <w:kern w:val="2"/>
          <w:sz w:val="32"/>
          <w:szCs w:val="32"/>
          <w:lang w:val="en-US" w:eastAsia="zh-CN" w:bidi="ar-SA"/>
        </w:rPr>
        <w:t>公布违纪违法违规问题线索反映渠道，开通廉政账户、设立举报箱、公布举报电话和邮箱，广泛收集问题线索。旨在一体推进不敢腐、不能腐、不想腐的长效机制建设，重塑学校的清正廉洁之风。</w:t>
      </w:r>
    </w:p>
    <w:p w14:paraId="4E2ED887">
      <w:pPr>
        <w:pStyle w:val="20"/>
        <w:widowControl/>
        <w:shd w:val="clear" w:color="auto" w:fill="FDFDFE"/>
        <w:spacing w:before="120" w:beforeAutospacing="0" w:afterAutospacing="0" w:line="360" w:lineRule="auto"/>
        <w:jc w:val="center"/>
        <w:rPr>
          <w:rFonts w:ascii="Times New Roman" w:hAnsi="Times New Roman" w:eastAsia="方正仿宋_GBK"/>
          <w:color w:val="auto"/>
          <w:sz w:val="32"/>
          <w:szCs w:val="32"/>
        </w:rPr>
      </w:pPr>
      <w:r>
        <w:rPr>
          <w:rFonts w:ascii="Times New Roman" w:hAnsi="Times New Roman" w:eastAsia="方正仿宋_GBK"/>
          <w:color w:val="auto"/>
          <w:sz w:val="32"/>
          <w:szCs w:val="32"/>
        </w:rPr>
        <w:drawing>
          <wp:inline distT="0" distB="0" distL="114300" distR="114300">
            <wp:extent cx="5274310" cy="3956050"/>
            <wp:effectExtent l="0" t="0" r="2540" b="6350"/>
            <wp:docPr id="108" name="图片 40" descr="D:\新建文件夹\2024.11.27职业教育质量年度报告\图片\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0" descr="D:\新建文件夹\2024.11.27职业教育质量年度报告\图片\46.jpg"/>
                    <pic:cNvPicPr>
                      <a:picLocks noChangeAspect="1"/>
                    </pic:cNvPicPr>
                  </pic:nvPicPr>
                  <pic:blipFill>
                    <a:blip r:embed="rId30"/>
                    <a:stretch>
                      <a:fillRect/>
                    </a:stretch>
                  </pic:blipFill>
                  <pic:spPr>
                    <a:xfrm>
                      <a:off x="0" y="0"/>
                      <a:ext cx="5274310" cy="3956050"/>
                    </a:xfrm>
                    <a:prstGeom prst="rect">
                      <a:avLst/>
                    </a:prstGeom>
                    <a:noFill/>
                    <a:ln>
                      <a:noFill/>
                    </a:ln>
                  </pic:spPr>
                </pic:pic>
              </a:graphicData>
            </a:graphic>
          </wp:inline>
        </w:drawing>
      </w:r>
    </w:p>
    <w:p w14:paraId="11F27AB8">
      <w:pPr>
        <w:pStyle w:val="18"/>
        <w:bidi w:val="0"/>
      </w:pPr>
      <w:bookmarkStart w:id="457" w:name="_Toc9493"/>
      <w:r>
        <w:rPr>
          <w:rFonts w:hint="eastAsia"/>
        </w:rPr>
        <w:t>图</w:t>
      </w:r>
      <w:r>
        <w:rPr>
          <w:rFonts w:hint="eastAsia"/>
          <w:lang w:val="en-US" w:eastAsia="zh-CN"/>
        </w:rPr>
        <w:t xml:space="preserve">22 </w:t>
      </w:r>
      <w:r>
        <w:rPr>
          <w:rFonts w:hint="eastAsia"/>
        </w:rPr>
        <w:t>“促改促治”专项整治工作动员部署</w:t>
      </w:r>
      <w:bookmarkEnd w:id="457"/>
    </w:p>
    <w:p w14:paraId="4CE68997">
      <w:pPr>
        <w:pageBreakBefore w:val="0"/>
        <w:wordWrap/>
        <w:overflowPunct/>
        <w:topLinePunct w:val="0"/>
        <w:bidi w:val="0"/>
        <w:spacing w:line="360" w:lineRule="auto"/>
        <w:jc w:val="center"/>
        <w:rPr>
          <w:rFonts w:hint="eastAsia" w:ascii="Times New Roman" w:hAnsi="Times New Roman" w:eastAsia="方正小标宋_GBK" w:cs="Times New Roman"/>
          <w:bCs/>
          <w:color w:val="auto"/>
          <w:kern w:val="44"/>
          <w:sz w:val="44"/>
          <w:szCs w:val="44"/>
          <w:shd w:val="clear" w:color="auto" w:fill="FFFFFF"/>
          <w:lang w:val="en-US" w:eastAsia="zh-CN" w:bidi="ar-SA"/>
        </w:rPr>
      </w:pPr>
    </w:p>
    <w:p w14:paraId="4EFFC98F">
      <w:pPr>
        <w:rPr>
          <w:rFonts w:hint="eastAsia" w:ascii="Times New Roman" w:hAnsi="Times New Roman" w:eastAsia="方正小标宋_GBK" w:cs="Times New Roman"/>
          <w:bCs/>
          <w:color w:val="auto"/>
          <w:kern w:val="44"/>
          <w:sz w:val="44"/>
          <w:szCs w:val="44"/>
          <w:shd w:val="clear" w:color="auto" w:fill="FFFFFF"/>
          <w:lang w:val="en-US" w:eastAsia="zh-CN" w:bidi="ar-SA"/>
        </w:rPr>
      </w:pPr>
      <w:r>
        <w:rPr>
          <w:rFonts w:hint="eastAsia" w:ascii="Times New Roman" w:hAnsi="Times New Roman" w:eastAsia="方正小标宋_GBK" w:cs="Times New Roman"/>
          <w:bCs/>
          <w:color w:val="auto"/>
          <w:kern w:val="44"/>
          <w:sz w:val="44"/>
          <w:szCs w:val="44"/>
          <w:shd w:val="clear" w:color="auto" w:fill="FFFFFF"/>
          <w:lang w:val="en-US" w:eastAsia="zh-CN" w:bidi="ar-SA"/>
        </w:rPr>
        <w:br w:type="page"/>
      </w:r>
    </w:p>
    <w:p w14:paraId="3CD93497">
      <w:pPr>
        <w:bidi w:val="0"/>
        <w:jc w:val="center"/>
        <w:rPr>
          <w:rFonts w:hint="eastAsia"/>
          <w:sz w:val="32"/>
          <w:szCs w:val="32"/>
          <w:lang w:val="en-US" w:eastAsia="zh-CN"/>
        </w:rPr>
      </w:pPr>
      <w:r>
        <w:rPr>
          <w:rFonts w:hint="eastAsia"/>
          <w:sz w:val="32"/>
          <w:szCs w:val="32"/>
          <w:lang w:val="en-US" w:eastAsia="zh-CN"/>
        </w:rPr>
        <w:t>案例20：利用政策支撑，赋能职教改革</w:t>
      </w:r>
    </w:p>
    <w:p w14:paraId="06D46869">
      <w:pPr>
        <w:pageBreakBefore w:val="0"/>
        <w:wordWrap/>
        <w:overflowPunct/>
        <w:topLinePunct w:val="0"/>
        <w:bidi w:val="0"/>
        <w:spacing w:line="360" w:lineRule="auto"/>
        <w:jc w:val="center"/>
        <w:rPr>
          <w:rFonts w:hint="eastAsia" w:ascii="Times New Roman" w:hAnsi="Times New Roman" w:eastAsia="方正小标宋_GBK" w:cs="Times New Roman"/>
          <w:bCs/>
          <w:color w:val="auto"/>
          <w:kern w:val="44"/>
          <w:sz w:val="44"/>
          <w:szCs w:val="44"/>
          <w:shd w:val="clear" w:color="auto" w:fill="FFFFFF"/>
          <w:lang w:val="en-US" w:eastAsia="zh-CN" w:bidi="ar-SA"/>
        </w:rPr>
      </w:pPr>
    </w:p>
    <w:p w14:paraId="4665D5A0">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6B227589">
      <w:pPr>
        <w:pStyle w:val="13"/>
        <w:spacing w:before="41" w:line="356" w:lineRule="auto"/>
        <w:ind w:left="36" w:right="120" w:firstLine="55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近年来，</w:t>
      </w: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按照教育部“一体两翼五重点”的战略任务和安排，围绕重庆市“33618”现代制造业集群体系，“416”科技创新布局，秉承“书香南岸”教育发展理念，积极参与市域产教联合体深化现代职业教育改革、重庆市职业院校教师素质提高计划产业导师特聘等项目，把服务国家战略、服务区域经济社会发展、服务人的全面发展作为根本目标，把促进产教融合、职普融通作为关键路径和必答问题，扎实推进现代职业教育体系建设。</w:t>
      </w:r>
    </w:p>
    <w:p w14:paraId="5D9AFA75">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2B333E9E">
      <w:pPr>
        <w:pStyle w:val="13"/>
        <w:spacing w:before="41" w:line="356" w:lineRule="auto"/>
        <w:ind w:left="36" w:right="120" w:firstLine="55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校紧跟重庆产业升级，将建设高水平专业群和打造优质专业作为主要工作任务，开设了计算机应用、大数据技术应用、电子与信息技术、汽车制造与检修等共20余个专业，形成了计算机部、机电部、旅游管理部、艺术设计部、财经商贸部“五部多专”的格局。</w:t>
      </w:r>
    </w:p>
    <w:p w14:paraId="651A1D3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2B1FD7B5">
      <w:pPr>
        <w:pStyle w:val="13"/>
        <w:spacing w:before="41" w:line="356" w:lineRule="auto"/>
        <w:ind w:left="36" w:right="120" w:firstLine="550"/>
        <w:rPr>
          <w:rFonts w:hint="eastAsia" w:ascii="Times New Roman" w:hAnsi="Times New Roman" w:eastAsia="方正小标宋_GBK" w:cs="Times New Roman"/>
          <w:bCs/>
          <w:color w:val="auto"/>
          <w:kern w:val="44"/>
          <w:sz w:val="44"/>
          <w:szCs w:val="44"/>
          <w:shd w:val="clear"/>
          <w:lang w:val="en-US" w:eastAsia="zh-CN" w:bidi="ar-SA"/>
        </w:rPr>
      </w:pPr>
      <w:r>
        <w:rPr>
          <w:rFonts w:hint="eastAsia" w:ascii="Times New Roman" w:hAnsi="Times New Roman" w:eastAsia="方正仿宋_GBK" w:cs="Times New Roman"/>
          <w:bCs w:val="0"/>
          <w:spacing w:val="0"/>
          <w:kern w:val="2"/>
          <w:sz w:val="32"/>
          <w:szCs w:val="32"/>
          <w:lang w:val="en-US" w:eastAsia="zh-CN" w:bidi="ar-SA"/>
        </w:rPr>
        <w:t>学校全面贯彻党的终身教育大政方针，开设了公民素养、人文艺术、非遗文化、技能技艺、生活休闲、养生保健、运动健身、家庭教育等8大类近30门课程。《摄影》等3门课程入选《重庆市首批进社区百门优质老年教育课程》，“新媒体+短视频运营”“图形图像处理”2门课程入选重庆市继续教育网络课程，打造“处处能学”、“时时可学”、“人人皆学”、“全民乐学”的学习教育氛围。</w:t>
      </w:r>
      <w:bookmarkStart w:id="458" w:name="_Toc4610"/>
      <w:bookmarkStart w:id="459" w:name="_Toc27719"/>
      <w:bookmarkStart w:id="460" w:name="_Toc26152"/>
      <w:bookmarkStart w:id="461" w:name="_Toc10412"/>
      <w:bookmarkStart w:id="462" w:name="_Toc11319"/>
    </w:p>
    <w:p w14:paraId="67F1B307">
      <w:pPr>
        <w:rPr>
          <w:rFonts w:hint="eastAsia" w:ascii="Times New Roman" w:hAnsi="Times New Roman" w:eastAsia="方正小标宋_GBK" w:cs="Times New Roman"/>
          <w:bCs/>
          <w:color w:val="auto"/>
          <w:kern w:val="44"/>
          <w:sz w:val="44"/>
          <w:szCs w:val="44"/>
          <w:shd w:val="clear"/>
          <w:lang w:val="en-US" w:eastAsia="zh-CN" w:bidi="ar-SA"/>
        </w:rPr>
      </w:pPr>
      <w:r>
        <w:rPr>
          <w:rFonts w:hint="eastAsia" w:ascii="Times New Roman" w:hAnsi="Times New Roman" w:eastAsia="方正小标宋_GBK" w:cs="Times New Roman"/>
          <w:bCs/>
          <w:color w:val="auto"/>
          <w:kern w:val="44"/>
          <w:sz w:val="44"/>
          <w:szCs w:val="44"/>
          <w:shd w:val="clear"/>
          <w:lang w:val="en-US" w:eastAsia="zh-CN" w:bidi="ar-SA"/>
        </w:rPr>
        <w:br w:type="page"/>
      </w:r>
    </w:p>
    <w:p w14:paraId="1F3A0103">
      <w:pPr>
        <w:pStyle w:val="14"/>
        <w:bidi w:val="0"/>
        <w:rPr>
          <w:rFonts w:hint="eastAsia"/>
          <w:sz w:val="32"/>
          <w:szCs w:val="32"/>
          <w:lang w:val="en-US" w:eastAsia="zh-CN"/>
        </w:rPr>
      </w:pPr>
      <w:bookmarkStart w:id="463" w:name="_Toc22324"/>
      <w:bookmarkStart w:id="464" w:name="_Toc15094"/>
      <w:bookmarkStart w:id="465" w:name="_Toc7389"/>
      <w:bookmarkStart w:id="466" w:name="_Toc32535"/>
      <w:r>
        <w:rPr>
          <w:rFonts w:hint="eastAsia"/>
          <w:sz w:val="32"/>
          <w:szCs w:val="32"/>
          <w:lang w:val="en-US" w:eastAsia="zh-CN"/>
        </w:rPr>
        <w:t>案例21：善用专项资金，</w:t>
      </w:r>
      <w:bookmarkEnd w:id="458"/>
      <w:bookmarkEnd w:id="459"/>
      <w:bookmarkEnd w:id="460"/>
      <w:bookmarkEnd w:id="461"/>
      <w:bookmarkEnd w:id="462"/>
      <w:r>
        <w:rPr>
          <w:rFonts w:hint="eastAsia"/>
          <w:sz w:val="32"/>
          <w:szCs w:val="32"/>
          <w:lang w:val="en-US" w:eastAsia="zh-CN"/>
        </w:rPr>
        <w:t>提升实训质量</w:t>
      </w:r>
      <w:bookmarkEnd w:id="463"/>
      <w:bookmarkEnd w:id="464"/>
      <w:bookmarkEnd w:id="465"/>
      <w:bookmarkEnd w:id="466"/>
    </w:p>
    <w:p w14:paraId="198FB67E">
      <w:pPr>
        <w:rPr>
          <w:rFonts w:hint="eastAsia"/>
          <w:lang w:val="en-US" w:eastAsia="zh-CN"/>
        </w:rPr>
      </w:pPr>
    </w:p>
    <w:p w14:paraId="02ADDAE3">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0D7EB34E">
      <w:pPr>
        <w:keepNext w:val="0"/>
        <w:keepLines w:val="0"/>
        <w:pageBreakBefore w:val="0"/>
        <w:widowControl/>
        <w:shd w:val="clear" w:color="auto" w:fill="FFFFFF"/>
        <w:wordWrap/>
        <w:overflowPunct/>
        <w:topLinePunct w:val="0"/>
        <w:bidi w:val="0"/>
        <w:spacing w:line="360" w:lineRule="auto"/>
        <w:ind w:left="160" w:firstLine="640" w:firstLineChars="200"/>
        <w:rPr>
          <w:rFonts w:ascii="方正仿宋_GBK" w:hAnsi="Times New Roman" w:eastAsia="方正仿宋_GBK"/>
          <w:color w:val="auto"/>
          <w:sz w:val="32"/>
          <w:szCs w:val="32"/>
        </w:rPr>
      </w:pPr>
      <w:r>
        <w:rPr>
          <w:rFonts w:hint="eastAsia" w:ascii="Times New Roman" w:eastAsia="方正仿宋_GBK" w:cs="Times New Roman"/>
          <w:bCs w:val="0"/>
          <w:spacing w:val="0"/>
          <w:kern w:val="2"/>
          <w:sz w:val="32"/>
          <w:szCs w:val="32"/>
          <w:lang w:val="en-US" w:eastAsia="zh-CN" w:bidi="ar-SA"/>
        </w:rPr>
        <w:t>重庆市龙门浩职业中</w:t>
      </w:r>
      <w:r>
        <w:rPr>
          <w:rFonts w:hint="eastAsia" w:ascii="Times New Roman" w:hAnsi="Times New Roman" w:eastAsia="方正仿宋_GBK" w:cs="Times New Roman"/>
          <w:bCs w:val="0"/>
          <w:spacing w:val="0"/>
          <w:kern w:val="2"/>
          <w:sz w:val="32"/>
          <w:szCs w:val="32"/>
          <w:lang w:val="en-US" w:eastAsia="zh-CN" w:bidi="ar-SA"/>
        </w:rPr>
        <w:t>学校认真贯彻国务院办公厅《关于推动现代职业教育高质量发展的意见》及教育部、国家发展改革委等九部门联合印发《职业教育提质培优行动计划（2020-2023）》的文件精神，2022年学校在市区教育主管部门的大力支持下，成功申报2023年职业院校实训基地建设项目——人工智能与大数据产教融合实训基地，获批专项建设资金200万元。</w:t>
      </w:r>
    </w:p>
    <w:p w14:paraId="4171B24D">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4424531A">
      <w:pPr>
        <w:keepNext w:val="0"/>
        <w:keepLines w:val="0"/>
        <w:pageBreakBefore w:val="0"/>
        <w:widowControl/>
        <w:shd w:val="clear" w:color="auto" w:fill="FFFFFF"/>
        <w:wordWrap/>
        <w:overflowPunct/>
        <w:topLinePunct w:val="0"/>
        <w:bidi w:val="0"/>
        <w:spacing w:line="360" w:lineRule="auto"/>
        <w:ind w:left="160" w:firstLine="640" w:firstLineChars="200"/>
        <w:rPr>
          <w:rFonts w:hint="eastAsia" w:ascii="Times New Roman" w:hAnsi="Times New Roman" w:eastAsia="方正仿宋_GBK" w:cs="Times New Roman"/>
          <w:bCs w:val="0"/>
          <w:spacing w:val="0"/>
          <w:kern w:val="2"/>
          <w:sz w:val="32"/>
          <w:szCs w:val="32"/>
          <w:lang w:val="en-US" w:eastAsia="zh-CN" w:bidi="ar-SA"/>
        </w:rPr>
      </w:pPr>
      <w:r>
        <w:rPr>
          <w:rFonts w:ascii="方正仿宋_GBK" w:hAnsi="Times New Roman" w:eastAsia="方正仿宋_GBK"/>
          <w:color w:val="auto"/>
          <w:sz w:val="32"/>
          <w:szCs w:val="32"/>
        </w:rPr>
        <w:t>学</w:t>
      </w:r>
      <w:r>
        <w:rPr>
          <w:rFonts w:hint="eastAsia" w:ascii="Times New Roman" w:hAnsi="Times New Roman" w:eastAsia="方正仿宋_GBK" w:cs="Times New Roman"/>
          <w:bCs w:val="0"/>
          <w:spacing w:val="0"/>
          <w:kern w:val="2"/>
          <w:sz w:val="32"/>
          <w:szCs w:val="32"/>
          <w:lang w:val="en-US" w:eastAsia="zh-CN" w:bidi="ar-SA"/>
        </w:rPr>
        <w:t>校利用专项资金建成人工智能与大数据产教融合实训基地，成为教育部教育技术与资源发展中心（中央电化教育馆）“信息化支撑职业院校校企合作专业共建项目校”。通过开发课程资源、搭建课程资源平台、搭建大数据云实训平台、搭建人工智能云实训平台、搭建数字孪生实训平台、创设多元化教学方式，建成“资源+4大平台”的教学实训基地，解决专业实训教学中“看不到、进不去、成本高、危险大”的难题。以实带虚、以虚助实、虚实结合，改变传统教学手段，突出解决教学中痛难点，推进人才培养模式创新。</w:t>
      </w:r>
    </w:p>
    <w:p w14:paraId="03DA7F8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6F46B81B">
      <w:pPr>
        <w:keepNext w:val="0"/>
        <w:keepLines w:val="0"/>
        <w:pageBreakBefore w:val="0"/>
        <w:widowControl/>
        <w:shd w:val="clear" w:color="auto" w:fill="FFFFFF"/>
        <w:wordWrap/>
        <w:overflowPunct/>
        <w:topLinePunct w:val="0"/>
        <w:bidi w:val="0"/>
        <w:spacing w:line="360" w:lineRule="auto"/>
        <w:ind w:left="160" w:firstLine="640" w:firstLineChars="20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专项资金的使用，促成了学校人工智能实训基地建设升级，为培养“智能+技能”复合型、数字型技能人才提供了有力保障，助力学校成为“国际化、智慧化、职业化”的职业教育信息化标杆名校。</w:t>
      </w:r>
    </w:p>
    <w:p w14:paraId="1D26FAB9">
      <w:pPr>
        <w:rPr>
          <w:rFonts w:hint="eastAsia" w:ascii="Times New Roman" w:hAnsi="Times New Roman" w:eastAsia="方正小标宋_GBK" w:cs="Times New Roman"/>
          <w:bCs/>
          <w:color w:val="auto"/>
          <w:kern w:val="44"/>
          <w:sz w:val="44"/>
          <w:szCs w:val="44"/>
          <w:shd w:val="clear"/>
          <w:lang w:val="en-US" w:eastAsia="zh-CN" w:bidi="ar-SA"/>
        </w:rPr>
      </w:pPr>
      <w:r>
        <w:rPr>
          <w:rFonts w:hint="eastAsia" w:ascii="Times New Roman" w:hAnsi="Times New Roman" w:eastAsia="方正小标宋_GBK" w:cs="Times New Roman"/>
          <w:bCs/>
          <w:color w:val="auto"/>
          <w:kern w:val="44"/>
          <w:sz w:val="44"/>
          <w:szCs w:val="44"/>
          <w:shd w:val="clear"/>
          <w:lang w:val="en-US" w:eastAsia="zh-CN" w:bidi="ar-SA"/>
        </w:rPr>
        <w:br w:type="page"/>
      </w:r>
    </w:p>
    <w:p w14:paraId="43A1E434">
      <w:pPr>
        <w:pStyle w:val="41"/>
        <w:bidi w:val="0"/>
        <w:rPr>
          <w:rFonts w:hint="eastAsia"/>
          <w:sz w:val="32"/>
          <w:szCs w:val="32"/>
          <w:lang w:val="en-US" w:eastAsia="zh-CN"/>
        </w:rPr>
      </w:pPr>
      <w:bookmarkStart w:id="467" w:name="_Toc23705"/>
      <w:bookmarkStart w:id="468" w:name="_Toc2542"/>
      <w:bookmarkStart w:id="469" w:name="_Toc8412"/>
      <w:bookmarkStart w:id="470" w:name="_Toc6417"/>
      <w:bookmarkStart w:id="471" w:name="_Toc3995"/>
      <w:r>
        <w:rPr>
          <w:rFonts w:hint="eastAsia"/>
          <w:sz w:val="32"/>
          <w:szCs w:val="32"/>
          <w:lang w:val="en-US" w:eastAsia="zh-CN"/>
        </w:rPr>
        <w:t>案例22：深化安全教育，共建安全港湾</w:t>
      </w:r>
      <w:bookmarkEnd w:id="467"/>
      <w:bookmarkEnd w:id="468"/>
      <w:bookmarkEnd w:id="469"/>
      <w:bookmarkEnd w:id="470"/>
      <w:bookmarkEnd w:id="471"/>
    </w:p>
    <w:p w14:paraId="50D705AC">
      <w:pPr>
        <w:rPr>
          <w:rFonts w:hint="eastAsia"/>
          <w:lang w:val="en-US" w:eastAsia="zh-CN"/>
        </w:rPr>
      </w:pPr>
    </w:p>
    <w:p w14:paraId="189779AF">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12CC5C30">
      <w:pPr>
        <w:keepNext w:val="0"/>
        <w:keepLines w:val="0"/>
        <w:pageBreakBefore w:val="0"/>
        <w:widowControl/>
        <w:shd w:val="clear" w:color="auto" w:fill="FFFFFF"/>
        <w:wordWrap/>
        <w:overflowPunct/>
        <w:topLinePunct w:val="0"/>
        <w:bidi w:val="0"/>
        <w:spacing w:line="360" w:lineRule="auto"/>
        <w:ind w:left="160" w:firstLine="640" w:firstLineChars="20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2024年3月25日是第29个全国中小学生安全教育日，近年来校园欺凌事件频发，引起了社会广泛关注为夯实学校安全工作，并着力提升学生们的安全防范意识和自我防护技能，重庆市机电工程高级技工学校在年度组织一系列的安全教育活动。通过这些活动，期望能够为学生们营造一个更加安全、稳定的学习环境，共同构建一个坚不可摧的安全港湾。</w:t>
      </w:r>
    </w:p>
    <w:p w14:paraId="772395D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401FCBC5">
      <w:pPr>
        <w:keepNext w:val="0"/>
        <w:keepLines w:val="0"/>
        <w:pageBreakBefore w:val="0"/>
        <w:widowControl/>
        <w:shd w:val="clear" w:color="auto" w:fill="FFFFFF"/>
        <w:wordWrap/>
        <w:overflowPunct/>
        <w:topLinePunct w:val="0"/>
        <w:bidi w:val="0"/>
        <w:spacing w:line="360" w:lineRule="auto"/>
        <w:ind w:left="160" w:firstLine="640" w:firstLineChars="20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3月初，该校在茶园校区学术报告厅召开安全工作部署会，全体教职员工参与。会议对往期安全工作进行总结，并对新学期安全工作进行部署，会议强调安全工作的重要性及全体教职员工的责任感。3月21日，茶园校区邀请重庆市南岸区茶园派出所警官韩桐军、郭栋为全校师生开展了关于校园防欺凌、防性侵、防不法伤害的法制教育与安全知识讲座。两位警官为师生带来了极为珍贵的法律知识与安全防范经验分享。3月27日，该校组织全校师生开展防恐防暴安全教育和安全大排查活动，旨在提高师生对于恐怖袭击和暴力事件的防范意识，确保学校的安全稳定。3月末，该校在各班级开展以安全教育为核心主题的班会活动。在班会上，班主任和学生们一同回顾了近期学校所举办的一系列安全教育活动，并针对防恐防暴、消防安全、校园欺凌和性侵防范等核心议题进行了深入的研讨和交流。学生们积极参与讨论，踊跃发表个人见解，分享了自己的学习心得和体会，这不仅增强了他们对安全知识的理解和记忆，也进一步提升了他们的安全意识和防范能力。</w:t>
      </w:r>
    </w:p>
    <w:p w14:paraId="310BD88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bookmarkStart w:id="472" w:name="_Toc32544"/>
      <w:r>
        <w:rPr>
          <w:rFonts w:hint="eastAsia" w:ascii="Times New Roman" w:hAnsi="Times New Roman" w:cs="Times New Roman"/>
          <w:bCs w:val="0"/>
          <w:color w:val="auto"/>
          <w:spacing w:val="0"/>
          <w:kern w:val="2"/>
          <w:sz w:val="32"/>
          <w:szCs w:val="32"/>
          <w:shd w:val="clear" w:color="auto" w:fill="FFFFFF"/>
          <w:lang w:val="en-US" w:eastAsia="zh-CN" w:bidi="ar-SA"/>
        </w:rPr>
        <w:t>三、成果成效</w:t>
      </w:r>
      <w:bookmarkEnd w:id="472"/>
    </w:p>
    <w:p w14:paraId="4CC2B1FE">
      <w:pPr>
        <w:keepNext w:val="0"/>
        <w:keepLines w:val="0"/>
        <w:pageBreakBefore w:val="0"/>
        <w:widowControl/>
        <w:shd w:val="clear" w:color="auto" w:fill="FFFFFF"/>
        <w:wordWrap/>
        <w:overflowPunct/>
        <w:topLinePunct w:val="0"/>
        <w:bidi w:val="0"/>
        <w:spacing w:line="360" w:lineRule="auto"/>
        <w:ind w:left="160" w:firstLine="640" w:firstLineChars="200"/>
        <w:rPr>
          <w:rFonts w:hint="eastAsia" w:ascii="Times New Roman" w:hAnsi="Times New Roman" w:eastAsia="方正仿宋_GBK" w:cs="Times New Roman"/>
          <w:bCs w:val="0"/>
          <w:spacing w:val="0"/>
          <w:kern w:val="2"/>
          <w:sz w:val="32"/>
          <w:szCs w:val="32"/>
          <w:lang w:val="en-US" w:eastAsia="zh-CN" w:bidi="ar-SA"/>
        </w:rPr>
      </w:pPr>
      <w:r>
        <w:rPr>
          <w:rFonts w:hint="eastAsia" w:ascii="Times New Roman" w:hAnsi="Times New Roman" w:eastAsia="方正仿宋_GBK" w:cs="Times New Roman"/>
          <w:bCs w:val="0"/>
          <w:spacing w:val="0"/>
          <w:kern w:val="2"/>
          <w:sz w:val="32"/>
          <w:szCs w:val="32"/>
          <w:lang w:val="en-US" w:eastAsia="zh-CN" w:bidi="ar-SA"/>
        </w:rPr>
        <w:t>通过一系列安全教育活动，学校深刻认识到安全教育的重要性。安全是生命的保障是学习的前提，只有加强安全教育、提高安全意识，才能确保生命和财产安全。今后，该校将继续加强安全教育工作、完善安全教育制度、提高安全教育效果，为全体师生创造安全、和谐、稳定的学习和生活环境。</w:t>
      </w:r>
    </w:p>
    <w:p w14:paraId="1E4CF2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Chars="0" w:right="0" w:rightChars="0"/>
        <w:jc w:val="center"/>
        <w:textAlignment w:val="auto"/>
        <w:outlineLvl w:val="9"/>
        <w:rPr>
          <w:rFonts w:hint="eastAsia" w:ascii="仿宋" w:hAnsi="仿宋" w:eastAsia="仿宋" w:cs="仿宋"/>
          <w:b w:val="0"/>
          <w:bCs w:val="0"/>
          <w:color w:val="000000"/>
          <w:kern w:val="2"/>
          <w:sz w:val="24"/>
          <w:szCs w:val="24"/>
          <w:highlight w:val="none"/>
          <w:lang w:val="en-US" w:eastAsia="zh-CN" w:bidi="en-US"/>
        </w:rPr>
      </w:pPr>
      <w:bookmarkStart w:id="473" w:name="_Toc4997"/>
    </w:p>
    <w:bookmarkEnd w:id="473"/>
    <w:p w14:paraId="7B1B05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Chars="0" w:right="0" w:rightChars="0"/>
        <w:jc w:val="center"/>
        <w:textAlignment w:val="auto"/>
        <w:outlineLvl w:val="9"/>
        <w:rPr>
          <w:rFonts w:hint="eastAsia" w:ascii="仿宋" w:hAnsi="仿宋" w:eastAsia="仿宋" w:cs="仿宋"/>
          <w:b w:val="0"/>
          <w:bCs w:val="0"/>
          <w:color w:val="000000"/>
          <w:kern w:val="2"/>
          <w:sz w:val="24"/>
          <w:szCs w:val="24"/>
          <w:highlight w:val="none"/>
          <w:lang w:val="en-US" w:eastAsia="zh-CN" w:bidi="en-US"/>
        </w:rPr>
      </w:pPr>
    </w:p>
    <w:p w14:paraId="4EB68F35">
      <w:pPr>
        <w:bidi w:val="0"/>
        <w:jc w:val="center"/>
        <w:rPr>
          <w:rFonts w:hint="eastAsia"/>
          <w:lang w:val="en-US" w:eastAsia="zh-CN"/>
        </w:rPr>
      </w:pPr>
      <w:r>
        <w:rPr>
          <w:rFonts w:hint="eastAsia"/>
          <w:lang w:val="en-US" w:eastAsia="zh-CN"/>
        </w:rPr>
        <w:drawing>
          <wp:inline distT="0" distB="0" distL="114300" distR="114300">
            <wp:extent cx="5248910" cy="3498850"/>
            <wp:effectExtent l="0" t="0" r="8890" b="6350"/>
            <wp:docPr id="5" name="图片 5" descr="70aae883109b60b320d1e60da1d2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aae883109b60b320d1e60da1d2bcb"/>
                    <pic:cNvPicPr>
                      <a:picLocks noChangeAspect="1"/>
                    </pic:cNvPicPr>
                  </pic:nvPicPr>
                  <pic:blipFill>
                    <a:blip r:embed="rId31"/>
                    <a:stretch>
                      <a:fillRect/>
                    </a:stretch>
                  </pic:blipFill>
                  <pic:spPr>
                    <a:xfrm>
                      <a:off x="0" y="0"/>
                      <a:ext cx="5248910" cy="3498850"/>
                    </a:xfrm>
                    <a:prstGeom prst="rect">
                      <a:avLst/>
                    </a:prstGeom>
                  </pic:spPr>
                </pic:pic>
              </a:graphicData>
            </a:graphic>
          </wp:inline>
        </w:drawing>
      </w:r>
    </w:p>
    <w:p w14:paraId="7F22426D">
      <w:pPr>
        <w:pStyle w:val="18"/>
        <w:bidi w:val="0"/>
        <w:rPr>
          <w:rFonts w:hint="eastAsia"/>
          <w:lang w:val="en-US" w:eastAsia="zh-CN"/>
        </w:rPr>
      </w:pPr>
      <w:bookmarkStart w:id="474" w:name="_Toc29191"/>
      <w:bookmarkStart w:id="475" w:name="_Toc12864"/>
      <w:bookmarkStart w:id="476" w:name="_Toc26518"/>
      <w:bookmarkStart w:id="477" w:name="_Toc27168"/>
      <w:bookmarkStart w:id="478" w:name="_Toc18722"/>
      <w:bookmarkStart w:id="479" w:name="_Toc13786"/>
      <w:r>
        <w:rPr>
          <w:rFonts w:hint="eastAsia"/>
          <w:lang w:val="en-US" w:eastAsia="zh-CN"/>
        </w:rPr>
        <w:t>图23 南岸区茶园派出所警官为技工学校师生开展防诈骗安全教育</w:t>
      </w:r>
      <w:bookmarkEnd w:id="474"/>
      <w:bookmarkEnd w:id="475"/>
      <w:bookmarkEnd w:id="476"/>
      <w:bookmarkEnd w:id="477"/>
      <w:bookmarkEnd w:id="478"/>
      <w:bookmarkEnd w:id="479"/>
    </w:p>
    <w:p w14:paraId="6B518194">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Chars="0" w:right="0" w:rightChars="0"/>
        <w:jc w:val="center"/>
        <w:textAlignment w:val="auto"/>
        <w:outlineLvl w:val="9"/>
        <w:rPr>
          <w:rFonts w:hint="eastAsia" w:ascii="仿宋" w:hAnsi="仿宋" w:eastAsia="仿宋" w:cs="仿宋"/>
          <w:b w:val="0"/>
          <w:bCs w:val="0"/>
          <w:color w:val="000000"/>
          <w:kern w:val="2"/>
          <w:sz w:val="24"/>
          <w:szCs w:val="24"/>
          <w:highlight w:val="none"/>
          <w:lang w:val="en-US" w:eastAsia="zh-CN" w:bidi="en-US"/>
        </w:rPr>
      </w:pPr>
    </w:p>
    <w:p w14:paraId="7718DC1B">
      <w:pPr>
        <w:bidi w:val="0"/>
        <w:jc w:val="center"/>
        <w:rPr>
          <w:rFonts w:hint="eastAsia"/>
          <w:lang w:val="en-US" w:eastAsia="zh-CN"/>
        </w:rPr>
      </w:pPr>
      <w:r>
        <w:rPr>
          <w:rFonts w:hint="eastAsia"/>
          <w:lang w:val="en-US" w:eastAsia="zh-CN"/>
        </w:rPr>
        <w:drawing>
          <wp:inline distT="0" distB="0" distL="114300" distR="114300">
            <wp:extent cx="5257800" cy="3505200"/>
            <wp:effectExtent l="0" t="0" r="0" b="0"/>
            <wp:docPr id="12" name="图片 12" descr="IMG_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184"/>
                    <pic:cNvPicPr>
                      <a:picLocks noChangeAspect="1"/>
                    </pic:cNvPicPr>
                  </pic:nvPicPr>
                  <pic:blipFill>
                    <a:blip r:embed="rId32"/>
                    <a:stretch>
                      <a:fillRect/>
                    </a:stretch>
                  </pic:blipFill>
                  <pic:spPr>
                    <a:xfrm>
                      <a:off x="0" y="0"/>
                      <a:ext cx="5257800" cy="3505200"/>
                    </a:xfrm>
                    <a:prstGeom prst="rect">
                      <a:avLst/>
                    </a:prstGeom>
                  </pic:spPr>
                </pic:pic>
              </a:graphicData>
            </a:graphic>
          </wp:inline>
        </w:drawing>
      </w:r>
    </w:p>
    <w:p w14:paraId="6DC2EACB">
      <w:pPr>
        <w:pStyle w:val="18"/>
        <w:bidi w:val="0"/>
        <w:rPr>
          <w:rFonts w:hint="eastAsia"/>
          <w:lang w:val="en-US" w:eastAsia="zh-CN"/>
        </w:rPr>
      </w:pPr>
      <w:bookmarkStart w:id="480" w:name="_Toc11483"/>
      <w:bookmarkStart w:id="481" w:name="_Toc3721"/>
      <w:bookmarkStart w:id="482" w:name="_Toc9081"/>
      <w:bookmarkStart w:id="483" w:name="_Toc22699"/>
      <w:bookmarkStart w:id="484" w:name="_Toc9439"/>
      <w:bookmarkStart w:id="485" w:name="_Toc11125"/>
      <w:r>
        <w:rPr>
          <w:rFonts w:hint="eastAsia"/>
          <w:lang w:val="en-US" w:eastAsia="zh-CN"/>
        </w:rPr>
        <w:t>图24 开展防恐防暴安全反恐演练</w:t>
      </w:r>
      <w:bookmarkEnd w:id="480"/>
      <w:bookmarkEnd w:id="481"/>
      <w:bookmarkEnd w:id="482"/>
      <w:bookmarkEnd w:id="483"/>
      <w:bookmarkEnd w:id="484"/>
      <w:bookmarkEnd w:id="485"/>
      <w:bookmarkStart w:id="486" w:name="_Toc18121"/>
    </w:p>
    <w:p w14:paraId="77174C13">
      <w:pPr>
        <w:pStyle w:val="41"/>
        <w:bidi w:val="0"/>
        <w:rPr>
          <w:rFonts w:hint="eastAsia"/>
          <w:sz w:val="32"/>
          <w:szCs w:val="32"/>
          <w:lang w:val="en-US" w:eastAsia="zh-CN"/>
        </w:rPr>
      </w:pPr>
      <w:bookmarkStart w:id="487" w:name="_Toc13686"/>
      <w:r>
        <w:rPr>
          <w:rFonts w:hint="eastAsia"/>
          <w:sz w:val="32"/>
          <w:szCs w:val="32"/>
          <w:lang w:val="en-US" w:eastAsia="zh-CN"/>
        </w:rPr>
        <w:t>案例23：“粮辰美景•不负食光”美食节</w:t>
      </w:r>
      <w:bookmarkEnd w:id="486"/>
      <w:bookmarkEnd w:id="487"/>
    </w:p>
    <w:p w14:paraId="39120FB7">
      <w:pPr>
        <w:rPr>
          <w:rFonts w:hint="eastAsia"/>
          <w:lang w:val="en-US" w:eastAsia="zh-CN"/>
        </w:rPr>
      </w:pPr>
    </w:p>
    <w:p w14:paraId="62CC40EC">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bookmarkStart w:id="488" w:name="_Toc10087"/>
      <w:r>
        <w:rPr>
          <w:rFonts w:hint="eastAsia" w:ascii="Times New Roman" w:hAnsi="Times New Roman" w:cs="Times New Roman"/>
          <w:bCs w:val="0"/>
          <w:color w:val="auto"/>
          <w:spacing w:val="0"/>
          <w:kern w:val="2"/>
          <w:sz w:val="32"/>
          <w:szCs w:val="32"/>
          <w:shd w:val="clear" w:color="auto" w:fill="FFFFFF"/>
          <w:lang w:val="en-US" w:eastAsia="zh-CN" w:bidi="ar-SA"/>
        </w:rPr>
        <w:t>一、背景目标</w:t>
      </w:r>
      <w:bookmarkEnd w:id="488"/>
    </w:p>
    <w:p w14:paraId="4953C9D9">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rPr>
        <w:t>在当前社会中，粮食浪费现象颇为严重，学生群体亦未能幸免。</w:t>
      </w:r>
      <w:r>
        <w:rPr>
          <w:rFonts w:hint="eastAsia" w:ascii="Times New Roman" w:hAnsi="Times New Roman" w:eastAsia="方正仿宋_GBK" w:cs="Times New Roman"/>
          <w:sz w:val="32"/>
          <w:szCs w:val="32"/>
          <w:lang w:val="en-US" w:eastAsia="zh-CN"/>
        </w:rPr>
        <w:t>重庆市机电工程高级技工学校通过</w:t>
      </w:r>
      <w:r>
        <w:rPr>
          <w:rFonts w:hint="eastAsia" w:ascii="Times New Roman" w:hAnsi="Times New Roman" w:eastAsia="方正仿宋_GBK" w:cs="Times New Roman"/>
          <w:sz w:val="32"/>
          <w:szCs w:val="32"/>
        </w:rPr>
        <w:t>举办美食节，</w:t>
      </w:r>
      <w:r>
        <w:rPr>
          <w:rFonts w:hint="eastAsia" w:ascii="Times New Roman" w:hAnsi="Times New Roman" w:eastAsia="方正仿宋_GBK" w:cs="Times New Roman"/>
          <w:sz w:val="32"/>
          <w:szCs w:val="32"/>
          <w:lang w:eastAsia="zh-CN"/>
        </w:rPr>
        <w:t>希望能够</w:t>
      </w:r>
      <w:r>
        <w:rPr>
          <w:rFonts w:hint="eastAsia" w:ascii="Times New Roman" w:hAnsi="Times New Roman" w:eastAsia="方正仿宋_GBK" w:cs="Times New Roman"/>
          <w:sz w:val="32"/>
          <w:szCs w:val="32"/>
        </w:rPr>
        <w:t>提升学生节约粮食的意识，使他们深刻认识到粮食的宝贵以及浪费的严重后果。同时，活动致力于推广健康饮食文化，培养学生形成良好的饮食习惯和节约美德，共同营造一种以浪费为耻、以节约为荣的良好社会风尚。</w:t>
      </w:r>
    </w:p>
    <w:p w14:paraId="3D888D4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bookmarkStart w:id="489" w:name="_Toc30378"/>
      <w:r>
        <w:rPr>
          <w:rFonts w:hint="eastAsia" w:ascii="Times New Roman" w:hAnsi="Times New Roman" w:cs="Times New Roman"/>
          <w:bCs w:val="0"/>
          <w:color w:val="auto"/>
          <w:spacing w:val="0"/>
          <w:kern w:val="2"/>
          <w:sz w:val="32"/>
          <w:szCs w:val="32"/>
          <w:shd w:val="clear" w:color="auto" w:fill="FFFFFF"/>
          <w:lang w:val="en-US" w:eastAsia="zh-CN" w:bidi="ar-SA"/>
        </w:rPr>
        <w:t>二、创新举措</w:t>
      </w:r>
      <w:bookmarkEnd w:id="489"/>
    </w:p>
    <w:p w14:paraId="072F0E59">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美食与文化的融合：通过举办“粮辰美景•不负食光”美食节，该校成功地将美食体验与中华美食文化的传承相结合。未来，将进一步开发以文化为主题的美食课程，让学生在学习烹饪技能的同时，深入了解食物背后的历史和文化故事。</w:t>
      </w:r>
    </w:p>
    <w:p w14:paraId="47F41CF9">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师生互动的厨艺展示：邀请烹饪专业教师与学生共同进行厨艺展示，不仅展示了专业技能，也鼓励了学生参与和实践。未来可以定期举办类似的师生互动活动，让学生在实践中学习，同时增强师生之间的交流与合作。</w:t>
      </w:r>
    </w:p>
    <w:p w14:paraId="42C8E9E3">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文艺表演与美食的结合：通过歌唱和舞蹈等文艺表演形式，将美食文化以艺术的形式展现出来，为美食节增添了文化内涵。未来可以考虑将艺术教育与烹饪教育更紧密地结合，例如开设烹饪艺术课程，让学生在学习烹饪的同时，也能够学习相关的艺术表现技巧。</w:t>
      </w:r>
    </w:p>
    <w:p w14:paraId="11932F5F">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游园互动游戏的设计：设计一系列与美食相关的游园互动游戏，不仅增加了美食节的趣味性，也促进了师生间的沟通与合作。未来可以将这种互动游戏模式引入到校园其他活动中，如科学节、艺术节等，以增强活动的参与感和互动性。</w:t>
      </w:r>
    </w:p>
    <w:p w14:paraId="17E36D50">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跨学科的教育模式：美食节活动体现了跨学科教育的理念，将美食、文化、艺术和游戏结合在一起。未来可以探索更多跨学科的教育项目，鼓励学生从不同角度学习和探索，培养他们的创新思维和综合能力。</w:t>
      </w:r>
    </w:p>
    <w:p w14:paraId="7615A8A6">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bookmarkStart w:id="490" w:name="_Toc6970"/>
      <w:r>
        <w:rPr>
          <w:rFonts w:hint="eastAsia" w:ascii="Times New Roman" w:hAnsi="Times New Roman" w:cs="Times New Roman"/>
          <w:bCs w:val="0"/>
          <w:color w:val="auto"/>
          <w:spacing w:val="0"/>
          <w:kern w:val="2"/>
          <w:sz w:val="32"/>
          <w:szCs w:val="32"/>
          <w:shd w:val="clear" w:color="auto" w:fill="FFFFFF"/>
          <w:lang w:val="en-US" w:eastAsia="zh-CN" w:bidi="ar-SA"/>
        </w:rPr>
        <w:t>三、成果成效</w:t>
      </w:r>
      <w:bookmarkEnd w:id="490"/>
    </w:p>
    <w:p w14:paraId="2E15650B">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“粮辰美景•不负食光”美食节活动，不仅是一场美食盛宴，更是一次文化交流和能力锻炼的盛会。师生们品味美食的同时，领略中华饮食文化的魅力，也为同学们提供了展示自我、提升能力的机会。</w:t>
      </w:r>
      <w:bookmarkStart w:id="491" w:name="_Toc2849"/>
      <w:bookmarkStart w:id="492" w:name="_Toc1956"/>
      <w:bookmarkStart w:id="493" w:name="_Toc1397"/>
      <w:bookmarkStart w:id="494" w:name="_Toc27290"/>
      <w:bookmarkStart w:id="495" w:name="_Toc3655"/>
    </w:p>
    <w:p w14:paraId="0B863B9C">
      <w:pPr>
        <w:pStyle w:val="18"/>
        <w:bidi w:val="0"/>
        <w:rPr>
          <w:rFonts w:hint="eastAsia"/>
          <w:lang w:val="en-US" w:eastAsia="zh-CN"/>
        </w:rPr>
      </w:pPr>
    </w:p>
    <w:p w14:paraId="1D0D9BAB">
      <w:pPr>
        <w:pStyle w:val="18"/>
        <w:bidi w:val="0"/>
        <w:rPr>
          <w:rFonts w:hint="eastAsia"/>
          <w:lang w:val="en-US" w:eastAsia="zh-CN"/>
        </w:rPr>
      </w:pPr>
    </w:p>
    <w:p w14:paraId="4964C67B">
      <w:pPr>
        <w:pStyle w:val="18"/>
        <w:bidi w:val="0"/>
        <w:rPr>
          <w:rFonts w:hint="eastAsia"/>
          <w:lang w:val="en-US" w:eastAsia="zh-CN"/>
        </w:rPr>
      </w:pPr>
    </w:p>
    <w:p w14:paraId="16C1F501">
      <w:pPr>
        <w:pStyle w:val="18"/>
        <w:bidi w:val="0"/>
        <w:rPr>
          <w:rFonts w:hint="eastAsia"/>
          <w:lang w:val="en-US" w:eastAsia="zh-CN"/>
        </w:rPr>
      </w:pPr>
    </w:p>
    <w:p w14:paraId="21A46FAC">
      <w:pPr>
        <w:pStyle w:val="18"/>
        <w:bidi w:val="0"/>
        <w:rPr>
          <w:rFonts w:hint="eastAsia"/>
          <w:lang w:val="en-US" w:eastAsia="zh-CN"/>
        </w:rPr>
      </w:pPr>
    </w:p>
    <w:p w14:paraId="201EE4F9">
      <w:pPr>
        <w:pStyle w:val="18"/>
        <w:bidi w:val="0"/>
        <w:rPr>
          <w:rFonts w:hint="eastAsia"/>
          <w:lang w:val="en-US" w:eastAsia="zh-CN"/>
        </w:rPr>
      </w:pPr>
    </w:p>
    <w:p w14:paraId="30C1A16D">
      <w:pPr>
        <w:bidi w:val="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194945</wp:posOffset>
            </wp:positionH>
            <wp:positionV relativeFrom="paragraph">
              <wp:posOffset>45085</wp:posOffset>
            </wp:positionV>
            <wp:extent cx="5248910" cy="3173095"/>
            <wp:effectExtent l="0" t="0" r="8890" b="8255"/>
            <wp:wrapNone/>
            <wp:docPr id="14" name="图片 14" descr="08f79ec982111d3caae4a05f49a4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8f79ec982111d3caae4a05f49a44af"/>
                    <pic:cNvPicPr>
                      <a:picLocks noChangeAspect="1"/>
                    </pic:cNvPicPr>
                  </pic:nvPicPr>
                  <pic:blipFill>
                    <a:blip r:embed="rId33"/>
                    <a:stretch>
                      <a:fillRect/>
                    </a:stretch>
                  </pic:blipFill>
                  <pic:spPr>
                    <a:xfrm>
                      <a:off x="0" y="0"/>
                      <a:ext cx="5248910" cy="3173095"/>
                    </a:xfrm>
                    <a:prstGeom prst="rect">
                      <a:avLst/>
                    </a:prstGeom>
                  </pic:spPr>
                </pic:pic>
              </a:graphicData>
            </a:graphic>
          </wp:anchor>
        </w:drawing>
      </w:r>
    </w:p>
    <w:p w14:paraId="2BA6E224">
      <w:pPr>
        <w:pStyle w:val="18"/>
        <w:bidi w:val="0"/>
        <w:rPr>
          <w:rFonts w:hint="eastAsia"/>
          <w:lang w:val="en-US" w:eastAsia="zh-CN"/>
        </w:rPr>
      </w:pPr>
    </w:p>
    <w:p w14:paraId="03A28EAA">
      <w:pPr>
        <w:pStyle w:val="18"/>
        <w:bidi w:val="0"/>
        <w:rPr>
          <w:rFonts w:hint="eastAsia"/>
          <w:lang w:val="en-US" w:eastAsia="zh-CN"/>
        </w:rPr>
      </w:pPr>
    </w:p>
    <w:p w14:paraId="39EDC215">
      <w:pPr>
        <w:pStyle w:val="18"/>
        <w:bidi w:val="0"/>
        <w:rPr>
          <w:rFonts w:hint="eastAsia"/>
          <w:lang w:val="en-US" w:eastAsia="zh-CN"/>
        </w:rPr>
      </w:pPr>
    </w:p>
    <w:p w14:paraId="6B59E7DB">
      <w:pPr>
        <w:pStyle w:val="18"/>
        <w:bidi w:val="0"/>
        <w:rPr>
          <w:rFonts w:hint="eastAsia"/>
          <w:lang w:val="en-US" w:eastAsia="zh-CN"/>
        </w:rPr>
      </w:pPr>
    </w:p>
    <w:p w14:paraId="142FCAF4">
      <w:pPr>
        <w:pStyle w:val="18"/>
        <w:bidi w:val="0"/>
        <w:rPr>
          <w:rFonts w:hint="eastAsia"/>
          <w:lang w:val="en-US" w:eastAsia="zh-CN"/>
        </w:rPr>
      </w:pPr>
    </w:p>
    <w:p w14:paraId="6E9AE446">
      <w:pPr>
        <w:rPr>
          <w:rFonts w:hint="eastAsia"/>
          <w:lang w:val="en-US" w:eastAsia="zh-CN"/>
        </w:rPr>
      </w:pPr>
    </w:p>
    <w:p w14:paraId="530CF6B3">
      <w:pPr>
        <w:pStyle w:val="18"/>
        <w:bidi w:val="0"/>
        <w:rPr>
          <w:rFonts w:hint="eastAsia"/>
          <w:lang w:val="en-US" w:eastAsia="zh-CN"/>
        </w:rPr>
      </w:pPr>
    </w:p>
    <w:p w14:paraId="5E01C905">
      <w:pPr>
        <w:pStyle w:val="18"/>
        <w:bidi w:val="0"/>
        <w:rPr>
          <w:rFonts w:hint="eastAsia"/>
          <w:lang w:val="en-US" w:eastAsia="zh-CN"/>
        </w:rPr>
      </w:pPr>
    </w:p>
    <w:p w14:paraId="2CDAE707">
      <w:pPr>
        <w:pStyle w:val="18"/>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sz w:val="20"/>
          <w:szCs w:val="16"/>
          <w:lang w:val="en-US" w:eastAsia="zh-CN"/>
        </w:rPr>
      </w:pPr>
    </w:p>
    <w:p w14:paraId="7A0E42E6">
      <w:pPr>
        <w:pStyle w:val="18"/>
        <w:bidi w:val="0"/>
        <w:rPr>
          <w:rFonts w:hint="eastAsia"/>
          <w:lang w:val="en-US" w:eastAsia="zh-CN"/>
        </w:rPr>
      </w:pPr>
      <w:bookmarkStart w:id="496" w:name="_Toc30722"/>
      <w:r>
        <w:rPr>
          <w:rFonts w:hint="eastAsia"/>
          <w:lang w:val="en-US" w:eastAsia="zh-CN"/>
        </w:rPr>
        <w:t>图25 开展“粮辰美景•不负食光”美食节活动</w:t>
      </w:r>
      <w:bookmarkEnd w:id="491"/>
      <w:bookmarkEnd w:id="492"/>
      <w:bookmarkEnd w:id="493"/>
      <w:bookmarkEnd w:id="494"/>
      <w:bookmarkEnd w:id="495"/>
      <w:bookmarkEnd w:id="496"/>
    </w:p>
    <w:p w14:paraId="4E45D44A">
      <w:pPr>
        <w:rPr>
          <w:rFonts w:hint="eastAsia" w:ascii="仿宋" w:hAnsi="仿宋" w:eastAsia="仿宋" w:cs="仿宋"/>
          <w:b w:val="0"/>
          <w:bCs w:val="0"/>
          <w:color w:val="000000"/>
          <w:kern w:val="2"/>
          <w:sz w:val="24"/>
          <w:szCs w:val="24"/>
          <w:highlight w:val="none"/>
          <w:lang w:val="en-US" w:eastAsia="zh-CN" w:bidi="en-US"/>
        </w:rPr>
      </w:pPr>
      <w:r>
        <w:rPr>
          <w:rFonts w:hint="eastAsia"/>
          <w:lang w:val="en-US" w:eastAsia="zh-CN"/>
        </w:rPr>
        <w:drawing>
          <wp:anchor distT="0" distB="0" distL="114300" distR="114300" simplePos="0" relativeHeight="251674624" behindDoc="0" locked="0" layoutInCell="1" allowOverlap="1">
            <wp:simplePos x="0" y="0"/>
            <wp:positionH relativeFrom="column">
              <wp:posOffset>186690</wp:posOffset>
            </wp:positionH>
            <wp:positionV relativeFrom="paragraph">
              <wp:posOffset>144780</wp:posOffset>
            </wp:positionV>
            <wp:extent cx="5266690" cy="3528060"/>
            <wp:effectExtent l="0" t="0" r="10160" b="15240"/>
            <wp:wrapTopAndBottom/>
            <wp:docPr id="30" name="图片 30"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12"/>
                    <pic:cNvPicPr>
                      <a:picLocks noChangeAspect="1"/>
                    </pic:cNvPicPr>
                  </pic:nvPicPr>
                  <pic:blipFill>
                    <a:blip r:embed="rId34"/>
                    <a:stretch>
                      <a:fillRect/>
                    </a:stretch>
                  </pic:blipFill>
                  <pic:spPr>
                    <a:xfrm>
                      <a:off x="0" y="0"/>
                      <a:ext cx="5266690" cy="3528060"/>
                    </a:xfrm>
                    <a:prstGeom prst="rect">
                      <a:avLst/>
                    </a:prstGeom>
                  </pic:spPr>
                </pic:pic>
              </a:graphicData>
            </a:graphic>
          </wp:anchor>
        </w:drawing>
      </w:r>
    </w:p>
    <w:p w14:paraId="1D5391A6">
      <w:pPr>
        <w:pStyle w:val="18"/>
        <w:bidi w:val="0"/>
        <w:rPr>
          <w:rFonts w:hint="eastAsia"/>
          <w:lang w:val="en-US" w:eastAsia="zh-CN"/>
        </w:rPr>
      </w:pPr>
      <w:bookmarkStart w:id="497" w:name="_Toc16823"/>
      <w:bookmarkStart w:id="498" w:name="_Toc4109"/>
      <w:bookmarkStart w:id="499" w:name="_Toc21043"/>
      <w:bookmarkStart w:id="500" w:name="_Toc29080"/>
      <w:bookmarkStart w:id="501" w:name="_Toc3541"/>
      <w:bookmarkStart w:id="502" w:name="_Toc944"/>
      <w:r>
        <w:rPr>
          <w:rFonts w:hint="eastAsia"/>
          <w:lang w:val="en-US" w:eastAsia="zh-CN"/>
        </w:rPr>
        <w:t>图26 开展“粮辰美景•不负食光”美食节活动</w:t>
      </w:r>
      <w:bookmarkEnd w:id="497"/>
      <w:bookmarkEnd w:id="498"/>
      <w:bookmarkEnd w:id="499"/>
      <w:bookmarkEnd w:id="500"/>
      <w:bookmarkEnd w:id="501"/>
      <w:bookmarkEnd w:id="502"/>
    </w:p>
    <w:p w14:paraId="5BBDF919">
      <w:pPr>
        <w:rPr>
          <w:rFonts w:hint="eastAsia" w:ascii="Times New Roman" w:hAnsi="Times New Roman" w:eastAsia="方正小标宋_GBK" w:cs="Times New Roman"/>
          <w:bCs/>
          <w:color w:val="auto"/>
          <w:kern w:val="44"/>
          <w:sz w:val="44"/>
          <w:szCs w:val="44"/>
          <w:shd w:val="clear"/>
          <w:lang w:val="en-US" w:eastAsia="zh-CN" w:bidi="ar-SA"/>
        </w:rPr>
      </w:pPr>
      <w:bookmarkStart w:id="503" w:name="_Toc22181"/>
      <w:r>
        <w:rPr>
          <w:rFonts w:hint="eastAsia" w:ascii="Times New Roman" w:hAnsi="Times New Roman" w:eastAsia="方正小标宋_GBK" w:cs="Times New Roman"/>
          <w:bCs/>
          <w:color w:val="auto"/>
          <w:kern w:val="44"/>
          <w:sz w:val="44"/>
          <w:szCs w:val="44"/>
          <w:shd w:val="clear"/>
          <w:lang w:val="en-US" w:eastAsia="zh-CN" w:bidi="ar-SA"/>
        </w:rPr>
        <w:br w:type="page"/>
      </w:r>
    </w:p>
    <w:p w14:paraId="19F7E92E">
      <w:pPr>
        <w:pStyle w:val="41"/>
        <w:bidi w:val="0"/>
        <w:rPr>
          <w:rFonts w:hint="eastAsia"/>
          <w:sz w:val="32"/>
          <w:szCs w:val="32"/>
          <w:lang w:val="en-US" w:eastAsia="zh-CN"/>
        </w:rPr>
      </w:pPr>
      <w:bookmarkStart w:id="504" w:name="_Toc25622"/>
      <w:bookmarkStart w:id="505" w:name="_Toc28234"/>
      <w:bookmarkStart w:id="506" w:name="_Toc32766"/>
      <w:bookmarkStart w:id="507" w:name="_Toc16289"/>
      <w:bookmarkStart w:id="508" w:name="_Toc8510"/>
      <w:r>
        <w:rPr>
          <w:rFonts w:hint="eastAsia"/>
          <w:sz w:val="32"/>
          <w:szCs w:val="32"/>
          <w:lang w:val="en-US" w:eastAsia="zh-CN"/>
        </w:rPr>
        <w:t>案例24：师道永续匠心传承</w:t>
      </w:r>
      <w:bookmarkEnd w:id="503"/>
      <w:bookmarkEnd w:id="504"/>
      <w:bookmarkEnd w:id="505"/>
      <w:bookmarkEnd w:id="506"/>
      <w:bookmarkEnd w:id="507"/>
      <w:bookmarkEnd w:id="508"/>
    </w:p>
    <w:p w14:paraId="7ED260DA">
      <w:pPr>
        <w:keepNext w:val="0"/>
        <w:keepLines w:val="0"/>
        <w:pageBreakBefore w:val="0"/>
        <w:kinsoku/>
        <w:wordWrap/>
        <w:overflowPunct/>
        <w:topLinePunct w:val="0"/>
        <w:autoSpaceDE/>
        <w:autoSpaceDN/>
        <w:bidi w:val="0"/>
        <w:spacing w:line="600" w:lineRule="exact"/>
        <w:textAlignment w:val="auto"/>
        <w:rPr>
          <w:rFonts w:hint="eastAsia"/>
          <w:lang w:val="en-US" w:eastAsia="zh-CN"/>
        </w:rPr>
      </w:pPr>
    </w:p>
    <w:p w14:paraId="0F5FD1A6">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bookmarkStart w:id="509" w:name="_Toc31785"/>
      <w:r>
        <w:rPr>
          <w:rFonts w:hint="eastAsia" w:ascii="Times New Roman" w:hAnsi="Times New Roman" w:cs="Times New Roman"/>
          <w:bCs w:val="0"/>
          <w:color w:val="auto"/>
          <w:spacing w:val="0"/>
          <w:kern w:val="2"/>
          <w:sz w:val="32"/>
          <w:szCs w:val="32"/>
          <w:shd w:val="clear" w:color="auto" w:fill="FFFFFF"/>
          <w:lang w:val="en-US" w:eastAsia="zh-CN" w:bidi="ar-SA"/>
        </w:rPr>
        <w:t>一、背景目标</w:t>
      </w:r>
      <w:bookmarkEnd w:id="509"/>
    </w:p>
    <w:p w14:paraId="74DFF69D">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rPr>
        <w:t>为促进教育教学的持续进步并提升新任教师的教学能力，重庆市机电工程高级技工学校特别策划并实施了一</w:t>
      </w:r>
      <w:r>
        <w:rPr>
          <w:rFonts w:hint="eastAsia" w:ascii="Times New Roman" w:hAnsi="Times New Roman" w:eastAsia="方正仿宋_GBK" w:cs="Times New Roman"/>
          <w:sz w:val="32"/>
          <w:szCs w:val="32"/>
          <w:lang w:eastAsia="zh-CN"/>
        </w:rPr>
        <w:t>系列</w:t>
      </w:r>
      <w:r>
        <w:rPr>
          <w:rFonts w:hint="eastAsia" w:ascii="Times New Roman" w:hAnsi="Times New Roman" w:eastAsia="方正仿宋_GBK" w:cs="Times New Roman"/>
          <w:sz w:val="32"/>
          <w:szCs w:val="32"/>
        </w:rPr>
        <w:t>针对新教师的培养计划。该计划以资深和骨干教师为核心，通过“传授、协助、带领”的有效机制，为新教师的迅速成长构建了良好的平台。</w:t>
      </w:r>
      <w:r>
        <w:rPr>
          <w:rFonts w:hint="eastAsia" w:ascii="Times New Roman" w:hAnsi="Times New Roman" w:eastAsia="方正仿宋_GBK" w:cs="Times New Roman"/>
          <w:sz w:val="32"/>
          <w:szCs w:val="32"/>
          <w:lang w:eastAsia="zh-CN"/>
        </w:rPr>
        <w:t>以此</w:t>
      </w:r>
      <w:r>
        <w:rPr>
          <w:rFonts w:hint="eastAsia" w:ascii="Times New Roman" w:hAnsi="Times New Roman" w:eastAsia="方正仿宋_GBK" w:cs="Times New Roman"/>
          <w:sz w:val="32"/>
          <w:szCs w:val="32"/>
        </w:rPr>
        <w:t>促进教师的快速成长，提高教育教学质量，继承并弘扬学校的优良传统，确保教学质量的持续提升，实现教师队伍的可持续发展。</w:t>
      </w:r>
    </w:p>
    <w:p w14:paraId="47987D11">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bookmarkStart w:id="510" w:name="_Toc29299"/>
      <w:r>
        <w:rPr>
          <w:rFonts w:hint="eastAsia" w:ascii="Times New Roman" w:hAnsi="Times New Roman" w:cs="Times New Roman"/>
          <w:bCs w:val="0"/>
          <w:color w:val="auto"/>
          <w:spacing w:val="0"/>
          <w:kern w:val="2"/>
          <w:sz w:val="32"/>
          <w:szCs w:val="32"/>
          <w:shd w:val="clear" w:color="auto" w:fill="FFFFFF"/>
          <w:lang w:val="en-US" w:eastAsia="zh-CN" w:bidi="ar-SA"/>
        </w:rPr>
        <w:t>二、创新举措</w:t>
      </w:r>
      <w:bookmarkEnd w:id="510"/>
    </w:p>
    <w:p w14:paraId="0ECB325E">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ascii="Times New Roman" w:hAnsi="Times New Roman" w:eastAsia="方正仿宋_GBK"/>
          <w:b w:val="0"/>
          <w:bCs/>
          <w:color w:val="111F2C"/>
          <w:sz w:val="32"/>
          <w:szCs w:val="32"/>
          <w:shd w:val="clear" w:color="auto" w:fill="FFFFFF"/>
        </w:rPr>
        <w:t>1</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实施“师徒制”教学模式，举办拜师仪式，将资深教师与新教师结对，通过一对一指导，传授教学经验和技巧。</w:t>
      </w:r>
    </w:p>
    <w:p w14:paraId="50975840">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2</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定期组织教学研讨活动，鼓励教师之间分享教学心得，共同探讨教学方法的创新与改进。</w:t>
      </w:r>
    </w:p>
    <w:p w14:paraId="139D523F">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3</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组织师生参加教学技能竞赛，激发教师的教学热情，提升教学水平，促进教师专业成长。</w:t>
      </w:r>
    </w:p>
    <w:p w14:paraId="44B53BE6">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4</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引入现代教育技术，如多媒体教学、网络课程等，丰富教学手段，提高教学互动性和学生的学习兴趣。</w:t>
      </w:r>
    </w:p>
    <w:p w14:paraId="07502BB0">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5</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建立教师发展档案，记录教师成长轨迹，为教师提供个性化的职业发展规划和指导。</w:t>
      </w:r>
    </w:p>
    <w:p w14:paraId="21541467">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三、成果成效</w:t>
      </w:r>
    </w:p>
    <w:p w14:paraId="299D3415">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通过该计划的实施，新任教师们在资深教师的悉心指导下，迅速掌握了教学的基本技能和方法，教学效果显著提升。新教师们在课堂上更加自信，能够灵活运用多种教学手段，激发学生的学习兴趣。同时，新教师们也学会了如何进行有效的课堂管理，确保了教学秩序和学习效率。</w:t>
      </w:r>
    </w:p>
    <w:p w14:paraId="5D01EF64">
      <w:pPr>
        <w:jc w:val="center"/>
        <w:rPr>
          <w:rFonts w:hint="default"/>
          <w:lang w:val="en-US" w:eastAsia="zh-CN"/>
        </w:rPr>
      </w:pPr>
      <w:r>
        <w:rPr>
          <w:rFonts w:hint="default"/>
          <w:lang w:val="en-US" w:eastAsia="zh-CN"/>
        </w:rPr>
        <w:drawing>
          <wp:inline distT="0" distB="0" distL="114300" distR="114300">
            <wp:extent cx="5257800" cy="3505200"/>
            <wp:effectExtent l="0" t="0" r="0" b="0"/>
            <wp:docPr id="47" name="图片 47" descr="IMG_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6854"/>
                    <pic:cNvPicPr>
                      <a:picLocks noChangeAspect="1"/>
                    </pic:cNvPicPr>
                  </pic:nvPicPr>
                  <pic:blipFill>
                    <a:blip r:embed="rId35"/>
                    <a:stretch>
                      <a:fillRect/>
                    </a:stretch>
                  </pic:blipFill>
                  <pic:spPr>
                    <a:xfrm>
                      <a:off x="0" y="0"/>
                      <a:ext cx="5257800" cy="3505200"/>
                    </a:xfrm>
                    <a:prstGeom prst="rect">
                      <a:avLst/>
                    </a:prstGeom>
                  </pic:spPr>
                </pic:pic>
              </a:graphicData>
            </a:graphic>
          </wp:inline>
        </w:drawing>
      </w:r>
    </w:p>
    <w:p w14:paraId="5EB2FD44">
      <w:pPr>
        <w:pStyle w:val="18"/>
        <w:bidi w:val="0"/>
        <w:rPr>
          <w:rFonts w:hint="eastAsia"/>
          <w:lang w:val="en-US" w:eastAsia="zh-CN"/>
        </w:rPr>
      </w:pPr>
      <w:bookmarkStart w:id="511" w:name="_Toc11752"/>
      <w:bookmarkStart w:id="512" w:name="_Toc8365"/>
      <w:bookmarkStart w:id="513" w:name="_Toc25054"/>
      <w:bookmarkStart w:id="514" w:name="_Toc29579"/>
      <w:bookmarkStart w:id="515" w:name="_Toc1971"/>
      <w:bookmarkStart w:id="516" w:name="_Toc16857"/>
      <w:r>
        <w:rPr>
          <w:rFonts w:hint="eastAsia"/>
          <w:lang w:val="en-US" w:eastAsia="zh-CN"/>
        </w:rPr>
        <w:t>图27  开展师徒结对拜师仪式</w:t>
      </w:r>
      <w:bookmarkEnd w:id="511"/>
      <w:bookmarkEnd w:id="512"/>
      <w:bookmarkEnd w:id="513"/>
      <w:bookmarkEnd w:id="514"/>
      <w:bookmarkEnd w:id="515"/>
      <w:bookmarkEnd w:id="516"/>
    </w:p>
    <w:p w14:paraId="1587E907">
      <w:pPr>
        <w:bidi w:val="0"/>
        <w:jc w:val="center"/>
        <w:rPr>
          <w:rFonts w:hint="eastAsia"/>
          <w:lang w:val="en-US" w:eastAsia="zh-CN"/>
        </w:rPr>
      </w:pPr>
      <w:r>
        <w:rPr>
          <w:rFonts w:hint="eastAsia"/>
          <w:lang w:val="en-US" w:eastAsia="zh-CN"/>
        </w:rPr>
        <w:drawing>
          <wp:inline distT="0" distB="0" distL="114300" distR="114300">
            <wp:extent cx="5255260" cy="3941445"/>
            <wp:effectExtent l="0" t="0" r="2540" b="1905"/>
            <wp:docPr id="87" name="图片 87" descr="b67a9c98bdd8a30ced4323f0ba7d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b67a9c98bdd8a30ced4323f0ba7d0dd"/>
                    <pic:cNvPicPr>
                      <a:picLocks noChangeAspect="1"/>
                    </pic:cNvPicPr>
                  </pic:nvPicPr>
                  <pic:blipFill>
                    <a:blip r:embed="rId36"/>
                    <a:stretch>
                      <a:fillRect/>
                    </a:stretch>
                  </pic:blipFill>
                  <pic:spPr>
                    <a:xfrm>
                      <a:off x="0" y="0"/>
                      <a:ext cx="5255260" cy="3941445"/>
                    </a:xfrm>
                    <a:prstGeom prst="rect">
                      <a:avLst/>
                    </a:prstGeom>
                  </pic:spPr>
                </pic:pic>
              </a:graphicData>
            </a:graphic>
          </wp:inline>
        </w:drawing>
      </w:r>
    </w:p>
    <w:p w14:paraId="139F3739">
      <w:pPr>
        <w:pStyle w:val="18"/>
        <w:bidi w:val="0"/>
        <w:rPr>
          <w:rFonts w:hint="eastAsia"/>
          <w:lang w:val="en-US" w:eastAsia="zh-CN"/>
        </w:rPr>
      </w:pPr>
      <w:bookmarkStart w:id="517" w:name="_Toc16356"/>
      <w:bookmarkStart w:id="518" w:name="_Toc30160"/>
      <w:bookmarkStart w:id="519" w:name="_Toc6413"/>
      <w:bookmarkStart w:id="520" w:name="_Toc19245"/>
      <w:bookmarkStart w:id="521" w:name="_Toc31456"/>
      <w:bookmarkStart w:id="522" w:name="_Toc13711"/>
      <w:r>
        <w:rPr>
          <w:rFonts w:hint="eastAsia"/>
          <w:lang w:val="en-US" w:eastAsia="zh-CN"/>
        </w:rPr>
        <w:t>图28 专业部开展教学研讨会</w:t>
      </w:r>
      <w:bookmarkEnd w:id="517"/>
      <w:bookmarkEnd w:id="518"/>
      <w:bookmarkEnd w:id="519"/>
      <w:bookmarkEnd w:id="520"/>
      <w:bookmarkEnd w:id="521"/>
      <w:bookmarkEnd w:id="522"/>
    </w:p>
    <w:p w14:paraId="056FBD37">
      <w:pPr>
        <w:rPr>
          <w:rFonts w:hint="eastAsia" w:ascii="Times New Roman" w:hAnsi="Times New Roman" w:eastAsia="方正小标宋_GBK" w:cs="Times New Roman"/>
          <w:bCs/>
          <w:color w:val="auto"/>
          <w:kern w:val="44"/>
          <w:sz w:val="44"/>
          <w:szCs w:val="44"/>
          <w:shd w:val="clear"/>
          <w:lang w:val="en-US" w:eastAsia="zh-CN" w:bidi="ar-SA"/>
        </w:rPr>
      </w:pPr>
      <w:bookmarkStart w:id="523" w:name="_Toc18097"/>
      <w:r>
        <w:rPr>
          <w:rFonts w:hint="eastAsia" w:ascii="Times New Roman" w:hAnsi="Times New Roman" w:eastAsia="方正小标宋_GBK" w:cs="Times New Roman"/>
          <w:bCs/>
          <w:color w:val="auto"/>
          <w:kern w:val="44"/>
          <w:sz w:val="44"/>
          <w:szCs w:val="44"/>
          <w:shd w:val="clear"/>
          <w:lang w:val="en-US" w:eastAsia="zh-CN" w:bidi="ar-SA"/>
        </w:rPr>
        <w:br w:type="page"/>
      </w:r>
    </w:p>
    <w:p w14:paraId="31AA4D47">
      <w:pPr>
        <w:pStyle w:val="41"/>
        <w:bidi w:val="0"/>
        <w:rPr>
          <w:rFonts w:hint="eastAsia"/>
          <w:sz w:val="32"/>
          <w:szCs w:val="32"/>
          <w:lang w:val="en-US" w:eastAsia="zh-CN"/>
        </w:rPr>
      </w:pPr>
      <w:bookmarkStart w:id="524" w:name="_Toc3026"/>
      <w:r>
        <w:rPr>
          <w:rFonts w:hint="eastAsia"/>
          <w:sz w:val="32"/>
          <w:szCs w:val="32"/>
          <w:lang w:val="en-US" w:eastAsia="zh-CN"/>
        </w:rPr>
        <w:t>案例:25：预防传染病健康伴我行</w:t>
      </w:r>
      <w:bookmarkEnd w:id="523"/>
      <w:bookmarkEnd w:id="524"/>
    </w:p>
    <w:p w14:paraId="2C26AEC6">
      <w:pPr>
        <w:jc w:val="center"/>
        <w:rPr>
          <w:rFonts w:hint="eastAsia" w:ascii="Times New Roman" w:hAnsi="Times New Roman" w:eastAsia="方正小标宋_GBK" w:cs="Times New Roman"/>
          <w:bCs/>
          <w:color w:val="auto"/>
          <w:kern w:val="44"/>
          <w:sz w:val="44"/>
          <w:szCs w:val="44"/>
          <w:shd w:val="clear"/>
          <w:lang w:val="en-US" w:eastAsia="zh-CN" w:bidi="ar-SA"/>
        </w:rPr>
      </w:pPr>
    </w:p>
    <w:p w14:paraId="3C8D1234">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一、背景目标</w:t>
      </w:r>
    </w:p>
    <w:p w14:paraId="16977E90">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在当前全球传染病防控形势依然严峻的背景下，重庆市机电工程高级技工学校将预防传染病教育纳入学校健康教育的重要组成部分。学校旨在通过一系列的健康教育活动，增强学生对传染病的认识，提高他们的自我防护能力，确保校园环境的健康安全。此外，学校还希望通过这些活动，培养学生的公共卫生意识，使他们成为健康生活方式的倡导者和实践者。</w:t>
      </w:r>
    </w:p>
    <w:p w14:paraId="2DAAE3A6">
      <w:pPr>
        <w:pStyle w:val="13"/>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outlineLvl w:val="9"/>
        <w:rPr>
          <w:rFonts w:hint="eastAsia" w:ascii="Times New Roman" w:hAnsi="Times New Roman" w:cs="Times New Roman"/>
          <w:bCs w:val="0"/>
          <w:color w:val="auto"/>
          <w:spacing w:val="0"/>
          <w:kern w:val="2"/>
          <w:sz w:val="32"/>
          <w:szCs w:val="32"/>
          <w:shd w:val="clear" w:color="auto" w:fill="FFFFFF"/>
          <w:lang w:val="en-US" w:eastAsia="zh-CN" w:bidi="ar-SA"/>
        </w:rPr>
      </w:pPr>
      <w:r>
        <w:rPr>
          <w:rFonts w:hint="eastAsia" w:ascii="Times New Roman" w:hAnsi="Times New Roman" w:cs="Times New Roman"/>
          <w:bCs w:val="0"/>
          <w:color w:val="auto"/>
          <w:spacing w:val="0"/>
          <w:kern w:val="2"/>
          <w:sz w:val="32"/>
          <w:szCs w:val="32"/>
          <w:shd w:val="clear" w:color="auto" w:fill="FFFFFF"/>
          <w:lang w:val="en-US" w:eastAsia="zh-CN" w:bidi="ar-SA"/>
        </w:rPr>
        <w:t>二、创新举措</w:t>
      </w:r>
    </w:p>
    <w:p w14:paraId="16CD89E6">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ascii="Times New Roman" w:hAnsi="Times New Roman" w:eastAsia="方正仿宋_GBK"/>
          <w:b w:val="0"/>
          <w:bCs/>
          <w:color w:val="111F2C"/>
          <w:sz w:val="32"/>
          <w:szCs w:val="32"/>
          <w:shd w:val="clear" w:color="auto" w:fill="FFFFFF"/>
        </w:rPr>
        <w:t>1</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开展传染病防治知识讲座，邀请区疾控中心传染病防治科袁满、汪燕两位专家为学生讲解常见传染病的预防知识和应对措施。</w:t>
      </w:r>
    </w:p>
    <w:p w14:paraId="364D4861">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2</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组织学生参与模拟传染病爆发应急演练，提高学生在真实情况下的应急反应能力和自我保护能力。</w:t>
      </w:r>
    </w:p>
    <w:p w14:paraId="07E61C1B">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3</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制定并实施校园传染病预防和控制方案，包括定期消毒、健康监测和疾病报告制度。</w:t>
      </w:r>
    </w:p>
    <w:p w14:paraId="7AAB33C5">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4</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利用校园广播、海报、宣传栏等多种形式，普及传染病预防知识，营造健康教育氛围。</w:t>
      </w:r>
    </w:p>
    <w:p w14:paraId="37E8E674">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5</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开展健</w:t>
      </w:r>
      <w:r>
        <w:rPr>
          <w:rFonts w:hint="eastAsia" w:ascii="Times New Roman" w:hAnsi="Times New Roman" w:eastAsia="方正仿宋_GBK" w:cs="Times New Roman"/>
          <w:sz w:val="32"/>
          <w:szCs w:val="32"/>
          <w:lang w:val="en-US" w:eastAsia="zh-CN"/>
        </w:rPr>
        <w:t>康生活方式教育，鼓励学生养成良好的个人卫生习惯，如勤洗手、戴口罩、保持社交距离等。</w:t>
      </w:r>
    </w:p>
    <w:p w14:paraId="5C1B6295">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黑体_GBK" w:cs="Times New Roman"/>
          <w:sz w:val="32"/>
          <w:szCs w:val="32"/>
        </w:rPr>
        <w:t>三、成果成效</w:t>
      </w:r>
    </w:p>
    <w:p w14:paraId="47F3CDE0">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通过这些举措的实施，学校成功地提高了学生对传染病的防范意识和自我保护能力。学生们在日常生活中更加注重个人卫生，积极采取预防措施，有效减少了传染病的发生。此外，学校还通过定期的健康监测和疾病报告制度，及时发现并处理了潜在的健康风险，确保了校园环境的健康安全。</w:t>
      </w:r>
    </w:p>
    <w:p w14:paraId="57263A41">
      <w:pPr>
        <w:bidi w:val="0"/>
        <w:jc w:val="center"/>
        <w:rPr>
          <w:rFonts w:hint="eastAsia"/>
          <w:lang w:val="en-US" w:eastAsia="zh-CN"/>
        </w:rPr>
      </w:pPr>
      <w:r>
        <w:rPr>
          <w:rFonts w:hint="eastAsia"/>
          <w:lang w:val="en-US" w:eastAsia="zh-CN"/>
        </w:rPr>
        <w:drawing>
          <wp:inline distT="0" distB="0" distL="114300" distR="114300">
            <wp:extent cx="5257800" cy="3505200"/>
            <wp:effectExtent l="0" t="0" r="0" b="0"/>
            <wp:docPr id="22" name="图片 22" descr="d7fbfb22b77147376c921d467222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7fbfb22b77147376c921d467222ff6"/>
                    <pic:cNvPicPr>
                      <a:picLocks noChangeAspect="1"/>
                    </pic:cNvPicPr>
                  </pic:nvPicPr>
                  <pic:blipFill>
                    <a:blip r:embed="rId37"/>
                    <a:stretch>
                      <a:fillRect/>
                    </a:stretch>
                  </pic:blipFill>
                  <pic:spPr>
                    <a:xfrm>
                      <a:off x="0" y="0"/>
                      <a:ext cx="5257800" cy="3505200"/>
                    </a:xfrm>
                    <a:prstGeom prst="rect">
                      <a:avLst/>
                    </a:prstGeom>
                  </pic:spPr>
                </pic:pic>
              </a:graphicData>
            </a:graphic>
          </wp:inline>
        </w:drawing>
      </w:r>
    </w:p>
    <w:p w14:paraId="34DCE6EA">
      <w:pPr>
        <w:pStyle w:val="18"/>
        <w:bidi w:val="0"/>
        <w:rPr>
          <w:rFonts w:hint="eastAsia"/>
          <w:lang w:val="en-US" w:eastAsia="zh-CN"/>
        </w:rPr>
      </w:pPr>
      <w:bookmarkStart w:id="525" w:name="_Toc99"/>
      <w:bookmarkStart w:id="526" w:name="_Toc32373"/>
      <w:bookmarkStart w:id="527" w:name="_Toc18763"/>
      <w:bookmarkStart w:id="528" w:name="_Toc6446"/>
      <w:bookmarkStart w:id="529" w:name="_Toc20817"/>
      <w:bookmarkStart w:id="530" w:name="_Toc24906"/>
      <w:r>
        <w:rPr>
          <w:rFonts w:hint="eastAsia"/>
          <w:lang w:val="en-US" w:eastAsia="zh-CN"/>
        </w:rPr>
        <w:t>图29 区疾控中心传染病防治科为师生开展传染病安全教育</w:t>
      </w:r>
      <w:bookmarkEnd w:id="525"/>
      <w:bookmarkEnd w:id="526"/>
      <w:bookmarkEnd w:id="527"/>
      <w:bookmarkEnd w:id="528"/>
      <w:bookmarkEnd w:id="529"/>
      <w:bookmarkEnd w:id="530"/>
    </w:p>
    <w:p w14:paraId="0C6CBFC4">
      <w:pPr>
        <w:pStyle w:val="41"/>
        <w:bidi w:val="0"/>
        <w:rPr>
          <w:rFonts w:hint="eastAsia"/>
          <w:lang w:val="en-US" w:eastAsia="zh-CN"/>
        </w:rPr>
      </w:pPr>
      <w:r>
        <w:rPr>
          <w:rFonts w:hint="eastAsia"/>
          <w:lang w:val="en-US" w:eastAsia="zh-CN"/>
        </w:rPr>
        <w:br w:type="page"/>
      </w:r>
      <w:bookmarkStart w:id="531" w:name="_Toc15936"/>
      <w:bookmarkStart w:id="532" w:name="_Toc29720"/>
      <w:bookmarkStart w:id="533" w:name="_Toc31574"/>
      <w:bookmarkStart w:id="534" w:name="_Toc22719"/>
      <w:bookmarkStart w:id="535" w:name="_Toc15096"/>
      <w:bookmarkStart w:id="536" w:name="_Toc23991"/>
      <w:r>
        <w:rPr>
          <w:rFonts w:hint="eastAsia"/>
          <w:sz w:val="32"/>
          <w:szCs w:val="32"/>
          <w:lang w:val="en-US" w:eastAsia="zh-CN"/>
        </w:rPr>
        <w:t>案例26：校内技能常比赛德技双馨展风采</w:t>
      </w:r>
      <w:bookmarkEnd w:id="531"/>
      <w:bookmarkEnd w:id="532"/>
      <w:bookmarkEnd w:id="533"/>
      <w:bookmarkEnd w:id="534"/>
      <w:bookmarkEnd w:id="535"/>
      <w:bookmarkEnd w:id="536"/>
    </w:p>
    <w:p w14:paraId="1F36552E">
      <w:pPr>
        <w:rPr>
          <w:rFonts w:hint="eastAsia"/>
          <w:lang w:val="en-US" w:eastAsia="zh-CN"/>
        </w:rPr>
      </w:pPr>
    </w:p>
    <w:p w14:paraId="3273D84C">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一、背景目标</w:t>
      </w:r>
    </w:p>
    <w:p w14:paraId="743BB009">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重庆市机电工程高级技工学校一直致力于培养学生的专业技能和综合素质，以适应社会对高技能人才的需求。通过举办各类技能比赛，学校旨在激发学生的学习热情，提高他们的实践操作能力，同时促进学生之间的交流与合作，为学生提供展示自我、挑战自我的平台。</w:t>
      </w:r>
    </w:p>
    <w:p w14:paraId="70AE0FC3">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二、创新举措</w:t>
      </w:r>
    </w:p>
    <w:p w14:paraId="6369D4DD">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ascii="Times New Roman" w:hAnsi="Times New Roman" w:eastAsia="方正仿宋_GBK"/>
          <w:b w:val="0"/>
          <w:bCs/>
          <w:color w:val="111F2C"/>
          <w:sz w:val="32"/>
          <w:szCs w:val="32"/>
          <w:shd w:val="clear" w:color="auto" w:fill="FFFFFF"/>
        </w:rPr>
        <w:t>1</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设立技能比赛日，定期举办各类技能竞赛，覆盖学校开设的各个专业领域。</w:t>
      </w:r>
    </w:p>
    <w:p w14:paraId="3FFF9206">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2</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邀请行业专家和企业技术人员担任评委，确保比赛的专业性和公正性。</w:t>
      </w:r>
    </w:p>
    <w:p w14:paraId="5878E0B9">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3</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开展赛前培训和辅导，帮助学生系统地掌握比赛所需的专业知识和技能。</w:t>
      </w:r>
    </w:p>
    <w:p w14:paraId="29E59467">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4</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通过校园媒体和社交平台对比赛进行广泛宣传，提高学生参与度和比赛的影响力。</w:t>
      </w:r>
    </w:p>
    <w:p w14:paraId="0E9A09A4">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5</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对获奖学生进行表彰和奖励，鼓励学生在技能学习上不断追求卓越。</w:t>
      </w:r>
    </w:p>
    <w:p w14:paraId="2D4EDD22">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hint="eastAsia" w:ascii="Times New Roman" w:hAnsi="Times New Roman" w:eastAsia="方正黑体_GBK" w:cs="Times New Roman"/>
          <w:b w:val="0"/>
          <w:bCs/>
          <w:sz w:val="32"/>
          <w:szCs w:val="32"/>
        </w:rPr>
      </w:pPr>
      <w:r>
        <w:rPr>
          <w:rFonts w:hint="eastAsia" w:ascii="Times New Roman" w:hAnsi="Times New Roman" w:eastAsia="方正黑体_GBK" w:cs="Times New Roman"/>
          <w:b w:val="0"/>
          <w:bCs/>
          <w:sz w:val="32"/>
          <w:szCs w:val="32"/>
        </w:rPr>
        <w:t>三、成果成效</w:t>
      </w:r>
    </w:p>
    <w:p w14:paraId="6F9506B5">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技能比赛不仅提升了学生的专业技能，也锻炼了他们的团队协作能力和解决问题的能力。通过比赛，学生能够将理论知识与实践操作相结合，加深了对专业知识的理解。同时，比赛也促进了学生之间的交流，增进了彼此间的友谊，为学生未来的职业生涯打下了坚实的基础。</w:t>
      </w:r>
    </w:p>
    <w:p w14:paraId="2E3FCB57">
      <w:pPr>
        <w:bidi w:val="0"/>
        <w:jc w:val="center"/>
        <w:rPr>
          <w:rFonts w:hint="eastAsia"/>
          <w:lang w:val="en-US" w:eastAsia="zh-CN"/>
        </w:rPr>
      </w:pPr>
      <w:r>
        <w:rPr>
          <w:rFonts w:hint="eastAsia"/>
          <w:lang w:val="en-US" w:eastAsia="zh-CN"/>
        </w:rPr>
        <w:drawing>
          <wp:inline distT="0" distB="0" distL="114300" distR="114300">
            <wp:extent cx="5266690" cy="3510280"/>
            <wp:effectExtent l="0" t="0" r="10160" b="13970"/>
            <wp:docPr id="28" name="图片 28" descr="c1feda046232bed05636e0328c2d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1feda046232bed05636e0328c2d4d2"/>
                    <pic:cNvPicPr>
                      <a:picLocks noChangeAspect="1"/>
                    </pic:cNvPicPr>
                  </pic:nvPicPr>
                  <pic:blipFill>
                    <a:blip r:embed="rId38"/>
                    <a:stretch>
                      <a:fillRect/>
                    </a:stretch>
                  </pic:blipFill>
                  <pic:spPr>
                    <a:xfrm>
                      <a:off x="0" y="0"/>
                      <a:ext cx="5266690" cy="3510280"/>
                    </a:xfrm>
                    <a:prstGeom prst="rect">
                      <a:avLst/>
                    </a:prstGeom>
                  </pic:spPr>
                </pic:pic>
              </a:graphicData>
            </a:graphic>
          </wp:inline>
        </w:drawing>
      </w:r>
    </w:p>
    <w:p w14:paraId="0537B42E">
      <w:pPr>
        <w:pStyle w:val="18"/>
        <w:bidi w:val="0"/>
        <w:rPr>
          <w:rFonts w:hint="eastAsia"/>
          <w:lang w:val="en-US" w:eastAsia="zh-CN"/>
        </w:rPr>
      </w:pPr>
      <w:bookmarkStart w:id="537" w:name="_Toc8210"/>
      <w:bookmarkStart w:id="538" w:name="_Toc14545"/>
      <w:bookmarkStart w:id="539" w:name="_Toc26093"/>
      <w:bookmarkStart w:id="540" w:name="_Toc24691"/>
      <w:bookmarkStart w:id="541" w:name="_Toc22912"/>
      <w:bookmarkStart w:id="542" w:name="_Toc21387"/>
      <w:r>
        <w:rPr>
          <w:rFonts w:hint="eastAsia"/>
          <w:lang w:val="en-US" w:eastAsia="zh-CN"/>
        </w:rPr>
        <w:t>图30 开展汽车技能比赛</w:t>
      </w:r>
      <w:bookmarkEnd w:id="537"/>
      <w:bookmarkEnd w:id="538"/>
      <w:bookmarkEnd w:id="539"/>
      <w:bookmarkEnd w:id="540"/>
      <w:bookmarkEnd w:id="541"/>
      <w:bookmarkEnd w:id="542"/>
    </w:p>
    <w:p w14:paraId="74E2A06B">
      <w:pPr>
        <w:bidi w:val="0"/>
        <w:jc w:val="center"/>
        <w:rPr>
          <w:rFonts w:hint="eastAsia"/>
          <w:lang w:val="en-US" w:eastAsia="zh-CN"/>
        </w:rPr>
      </w:pPr>
      <w:r>
        <w:rPr>
          <w:rFonts w:hint="eastAsia"/>
          <w:lang w:val="en-US" w:eastAsia="zh-CN"/>
        </w:rPr>
        <w:drawing>
          <wp:inline distT="0" distB="0" distL="114300" distR="114300">
            <wp:extent cx="5257800" cy="3505200"/>
            <wp:effectExtent l="0" t="0" r="0" b="0"/>
            <wp:docPr id="29" name="图片 29" descr="IMG_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7750"/>
                    <pic:cNvPicPr>
                      <a:picLocks noChangeAspect="1"/>
                    </pic:cNvPicPr>
                  </pic:nvPicPr>
                  <pic:blipFill>
                    <a:blip r:embed="rId39"/>
                    <a:stretch>
                      <a:fillRect/>
                    </a:stretch>
                  </pic:blipFill>
                  <pic:spPr>
                    <a:xfrm>
                      <a:off x="0" y="0"/>
                      <a:ext cx="5257800" cy="3505200"/>
                    </a:xfrm>
                    <a:prstGeom prst="rect">
                      <a:avLst/>
                    </a:prstGeom>
                  </pic:spPr>
                </pic:pic>
              </a:graphicData>
            </a:graphic>
          </wp:inline>
        </w:drawing>
      </w:r>
    </w:p>
    <w:p w14:paraId="2D2CA749">
      <w:pPr>
        <w:pStyle w:val="18"/>
        <w:bidi w:val="0"/>
        <w:rPr>
          <w:rFonts w:hint="default"/>
          <w:lang w:val="en-US" w:eastAsia="zh-CN"/>
        </w:rPr>
      </w:pPr>
      <w:bookmarkStart w:id="543" w:name="_Toc32075"/>
      <w:bookmarkStart w:id="544" w:name="_Toc17169"/>
      <w:bookmarkStart w:id="545" w:name="_Toc28355"/>
      <w:bookmarkStart w:id="546" w:name="_Toc29639"/>
      <w:bookmarkStart w:id="547" w:name="_Toc6388"/>
      <w:r>
        <w:rPr>
          <w:rFonts w:hint="eastAsia"/>
          <w:lang w:val="en-US" w:eastAsia="zh-CN"/>
        </w:rPr>
        <w:t>图31 开展汽车诊断技术培训会</w:t>
      </w:r>
      <w:bookmarkEnd w:id="543"/>
      <w:bookmarkEnd w:id="544"/>
      <w:bookmarkEnd w:id="545"/>
      <w:bookmarkEnd w:id="546"/>
      <w:bookmarkEnd w:id="547"/>
    </w:p>
    <w:p w14:paraId="6E1C7C46">
      <w:pPr>
        <w:jc w:val="center"/>
        <w:rPr>
          <w:rFonts w:hint="default" w:ascii="仿宋" w:hAnsi="仿宋" w:eastAsia="仿宋" w:cs="仿宋"/>
          <w:b w:val="0"/>
          <w:bCs w:val="0"/>
          <w:color w:val="000000"/>
          <w:kern w:val="2"/>
          <w:sz w:val="24"/>
          <w:szCs w:val="24"/>
          <w:highlight w:val="none"/>
          <w:lang w:val="en-US" w:eastAsia="zh-CN" w:bidi="en-US"/>
        </w:rPr>
      </w:pPr>
    </w:p>
    <w:p w14:paraId="71AEDE7A">
      <w:pPr>
        <w:rPr>
          <w:rFonts w:hint="eastAsia" w:ascii="Times New Roman" w:hAnsi="Times New Roman" w:eastAsia="方正小标宋_GBK" w:cs="Times New Roman"/>
          <w:bCs/>
          <w:color w:val="auto"/>
          <w:kern w:val="44"/>
          <w:sz w:val="44"/>
          <w:szCs w:val="44"/>
          <w:shd w:val="clear"/>
          <w:lang w:val="en-US" w:eastAsia="zh-CN" w:bidi="ar-SA"/>
        </w:rPr>
      </w:pPr>
      <w:bookmarkStart w:id="548" w:name="_Toc7144"/>
      <w:r>
        <w:rPr>
          <w:rFonts w:hint="eastAsia" w:ascii="Times New Roman" w:hAnsi="Times New Roman" w:eastAsia="方正小标宋_GBK" w:cs="Times New Roman"/>
          <w:bCs/>
          <w:color w:val="auto"/>
          <w:kern w:val="44"/>
          <w:sz w:val="44"/>
          <w:szCs w:val="44"/>
          <w:shd w:val="clear"/>
          <w:lang w:val="en-US" w:eastAsia="zh-CN" w:bidi="ar-SA"/>
        </w:rPr>
        <w:br w:type="page"/>
      </w:r>
    </w:p>
    <w:p w14:paraId="39D8F7A5">
      <w:pPr>
        <w:pStyle w:val="41"/>
        <w:bidi w:val="0"/>
        <w:rPr>
          <w:rFonts w:hint="eastAsia"/>
          <w:sz w:val="32"/>
          <w:szCs w:val="32"/>
          <w:lang w:val="en-US" w:eastAsia="zh-CN"/>
        </w:rPr>
      </w:pPr>
      <w:bookmarkStart w:id="549" w:name="_Toc18605"/>
      <w:r>
        <w:rPr>
          <w:rFonts w:hint="eastAsia"/>
          <w:sz w:val="32"/>
          <w:szCs w:val="32"/>
          <w:lang w:val="en-US" w:eastAsia="zh-CN"/>
        </w:rPr>
        <w:t>案例27：群“新”璀璨未来可期</w:t>
      </w:r>
      <w:bookmarkEnd w:id="548"/>
      <w:bookmarkStart w:id="550" w:name="_Toc17209"/>
      <w:bookmarkStart w:id="551" w:name="_Toc14745"/>
      <w:r>
        <w:rPr>
          <w:rFonts w:hint="eastAsia"/>
          <w:sz w:val="32"/>
          <w:szCs w:val="32"/>
          <w:lang w:val="en-US" w:eastAsia="zh-CN"/>
        </w:rPr>
        <w:t>——迎新系列活动</w:t>
      </w:r>
      <w:bookmarkEnd w:id="549"/>
      <w:bookmarkEnd w:id="550"/>
      <w:bookmarkEnd w:id="551"/>
    </w:p>
    <w:p w14:paraId="29EF0208">
      <w:pPr>
        <w:keepNext w:val="0"/>
        <w:keepLines w:val="0"/>
        <w:pageBreakBefore w:val="0"/>
        <w:widowControl w:val="0"/>
        <w:kinsoku/>
        <w:wordWrap/>
        <w:overflowPunct/>
        <w:topLinePunct w:val="0"/>
        <w:autoSpaceDE/>
        <w:autoSpaceDN/>
        <w:bidi w:val="0"/>
        <w:spacing w:line="600" w:lineRule="exact"/>
        <w:jc w:val="center"/>
        <w:textAlignment w:val="auto"/>
        <w:rPr>
          <w:rFonts w:hint="eastAsia" w:ascii="Times New Roman" w:hAnsi="Times New Roman" w:eastAsia="方正小标宋_GBK" w:cs="Times New Roman"/>
          <w:bCs/>
          <w:color w:val="auto"/>
          <w:kern w:val="44"/>
          <w:sz w:val="44"/>
          <w:szCs w:val="44"/>
          <w:shd w:val="clear"/>
          <w:lang w:val="en-US" w:eastAsia="zh-CN" w:bidi="ar-SA"/>
        </w:rPr>
      </w:pPr>
    </w:p>
    <w:p w14:paraId="11FF179E">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一、背景目标</w:t>
      </w:r>
    </w:p>
    <w:p w14:paraId="322C5A9A">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随着新学期的到来，重庆市机电工程高级技工学校迎来了一批充满活力与梦想的新同学。为了帮助新生更快地融入校园生活，了解学校文化，同时激发他们对学习的热情和对未来的憧憬，学校精心策划了一系列迎新活动。这些活动不仅为新生提供了一个展示自我、结交朋友的平台，也为他们提供了了解学校历史、文化和专业特色的机会，从而为他们的学习和生活打下坚实的基础。</w:t>
      </w:r>
    </w:p>
    <w:p w14:paraId="3B1D13DB">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ascii="Times New Roman" w:hAnsi="Times New Roman" w:eastAsia="方正黑体_GBK" w:cs="Times New Roman"/>
          <w:b w:val="0"/>
          <w:bCs w:val="0"/>
          <w:sz w:val="32"/>
          <w:szCs w:val="32"/>
        </w:rPr>
      </w:pPr>
      <w:r>
        <w:rPr>
          <w:rFonts w:hint="eastAsia" w:ascii="Times New Roman" w:hAnsi="Times New Roman" w:eastAsia="方正黑体_GBK" w:cs="Times New Roman"/>
          <w:sz w:val="32"/>
          <w:szCs w:val="32"/>
        </w:rPr>
        <w:t>二</w:t>
      </w:r>
      <w:r>
        <w:rPr>
          <w:rFonts w:hint="eastAsia" w:ascii="Times New Roman" w:hAnsi="Times New Roman" w:eastAsia="方正黑体_GBK" w:cs="Times New Roman"/>
          <w:b w:val="0"/>
          <w:bCs w:val="0"/>
          <w:sz w:val="32"/>
          <w:szCs w:val="32"/>
        </w:rPr>
        <w:t>、创新举措</w:t>
      </w:r>
    </w:p>
    <w:p w14:paraId="1E7716DB">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ascii="Times New Roman" w:hAnsi="Times New Roman" w:eastAsia="方正仿宋_GBK"/>
          <w:b w:val="0"/>
          <w:bCs w:val="0"/>
          <w:color w:val="111F2C"/>
          <w:sz w:val="32"/>
          <w:szCs w:val="32"/>
          <w:shd w:val="clear" w:color="auto" w:fill="FFFFFF"/>
        </w:rPr>
        <w:t>1</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组织新生入学座谈会，由学校领导和资深教师向新生介绍学校的发展历程、教育理念以及未来规划，增强新生的归属感和荣誉感。</w:t>
      </w:r>
    </w:p>
    <w:p w14:paraId="58CAE3F8">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2</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开展“校园文化之旅”，通过参观重点实验室、实训基地以及红色旅游资源，让新生直观感受学校的教学资源和学术氛围。</w:t>
      </w:r>
    </w:p>
    <w:p w14:paraId="14CA65CA">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3</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举办“新生才艺展示”活动，鼓励新生在舞台上展示自己的特长和才艺，促进学生之间的相互了解和友谊的建立。</w:t>
      </w:r>
    </w:p>
    <w:p w14:paraId="77A5EE7A">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4</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实施“学长学姐带路”计划，由高年级学生担任新生的引导者和辅导员，帮助新生解决学习和生活中的问题。</w:t>
      </w:r>
    </w:p>
    <w:p w14:paraId="0157E0E1">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5</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开展“专业介绍会”，邀请各专业教师详细讲解专业课程设置、就业方向和行业前景，帮助新生明确学习目标和职业规划。</w:t>
      </w:r>
    </w:p>
    <w:p w14:paraId="66EA43AF">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三、成果成效</w:t>
      </w:r>
    </w:p>
    <w:p w14:paraId="25D9387A">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仿宋" w:hAnsi="仿宋" w:eastAsia="仿宋" w:cs="仿宋"/>
          <w:b w:val="0"/>
          <w:bCs w:val="0"/>
          <w:color w:val="000000"/>
          <w:sz w:val="32"/>
          <w:szCs w:val="32"/>
          <w:highlight w:val="none"/>
          <w:lang w:val="en-US" w:eastAsia="zh-CN"/>
        </w:rPr>
      </w:pPr>
      <w:r>
        <w:rPr>
          <w:rFonts w:hint="eastAsia" w:ascii="Times New Roman" w:hAnsi="Times New Roman" w:eastAsia="方正仿宋_GBK" w:cs="Times New Roman"/>
          <w:sz w:val="32"/>
          <w:szCs w:val="32"/>
          <w:lang w:val="en-US" w:eastAsia="zh-CN"/>
        </w:rPr>
        <w:t>通过这些迎新活动的开展，新生们不仅快速适应了新的学习和生活环境，而且对学校有了更深入的了解。他们对学校的文化和专业特色有了更加清晰的认识，对未来的学习和生活充满了期待。同时，这些活动也促进了新生之间的交流与合作，为他们建立了一个积极向上的学习社群，为他们的成长和发展奠定了良好的基础。</w:t>
      </w:r>
    </w:p>
    <w:p w14:paraId="1D2CCA11">
      <w:pPr>
        <w:jc w:val="center"/>
        <w:rPr>
          <w:rFonts w:hint="eastAsia" w:ascii="Arial" w:hAnsi="Arial" w:eastAsia="方正仿宋_GB2312" w:cs="Times New Roman"/>
          <w:bCs w:val="0"/>
          <w:color w:val="auto"/>
          <w:kern w:val="2"/>
          <w:sz w:val="30"/>
          <w:szCs w:val="24"/>
          <w:shd w:val="clear" w:color="auto" w:fill="FFFFFF"/>
          <w:lang w:val="en-US" w:eastAsia="zh-CN" w:bidi="ar-SA"/>
        </w:rPr>
      </w:pPr>
      <w:r>
        <w:rPr>
          <w:rFonts w:hint="eastAsia" w:ascii="Arial" w:hAnsi="Arial" w:eastAsia="方正仿宋_GB2312" w:cs="Times New Roman"/>
          <w:bCs w:val="0"/>
          <w:color w:val="auto"/>
          <w:kern w:val="2"/>
          <w:sz w:val="30"/>
          <w:szCs w:val="24"/>
          <w:shd w:val="clear" w:color="auto" w:fill="FFFFFF"/>
          <w:lang w:val="en-US" w:eastAsia="zh-CN" w:bidi="ar-SA"/>
        </w:rPr>
        <w:drawing>
          <wp:anchor distT="0" distB="0" distL="114300" distR="114300" simplePos="0" relativeHeight="251660288" behindDoc="0" locked="0" layoutInCell="1" allowOverlap="1">
            <wp:simplePos x="0" y="0"/>
            <wp:positionH relativeFrom="column">
              <wp:posOffset>175895</wp:posOffset>
            </wp:positionH>
            <wp:positionV relativeFrom="paragraph">
              <wp:posOffset>13335</wp:posOffset>
            </wp:positionV>
            <wp:extent cx="5257800" cy="3505200"/>
            <wp:effectExtent l="0" t="0" r="0" b="0"/>
            <wp:wrapTopAndBottom/>
            <wp:docPr id="74" name="图片 74" descr="IMG_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7094"/>
                    <pic:cNvPicPr>
                      <a:picLocks noChangeAspect="1"/>
                    </pic:cNvPicPr>
                  </pic:nvPicPr>
                  <pic:blipFill>
                    <a:blip r:embed="rId40"/>
                    <a:stretch>
                      <a:fillRect/>
                    </a:stretch>
                  </pic:blipFill>
                  <pic:spPr>
                    <a:xfrm>
                      <a:off x="0" y="0"/>
                      <a:ext cx="5257800" cy="3505200"/>
                    </a:xfrm>
                    <a:prstGeom prst="rect">
                      <a:avLst/>
                    </a:prstGeom>
                  </pic:spPr>
                </pic:pic>
              </a:graphicData>
            </a:graphic>
          </wp:anchor>
        </w:drawing>
      </w:r>
      <w:r>
        <w:rPr>
          <w:rFonts w:hint="eastAsia" w:ascii="Arial" w:hAnsi="Arial" w:eastAsia="方正仿宋_GB2312" w:cs="Times New Roman"/>
          <w:bCs w:val="0"/>
          <w:color w:val="auto"/>
          <w:kern w:val="2"/>
          <w:sz w:val="30"/>
          <w:szCs w:val="24"/>
          <w:shd w:val="clear" w:color="auto" w:fill="FFFFFF"/>
          <w:lang w:val="en-US" w:eastAsia="zh-CN" w:bidi="ar-SA"/>
        </w:rPr>
        <w:t>图32 学校开展新生座谈会</w:t>
      </w:r>
    </w:p>
    <w:p w14:paraId="57547425">
      <w:pPr>
        <w:jc w:val="center"/>
        <w:rPr>
          <w:rFonts w:hint="eastAsia" w:ascii="仿宋" w:hAnsi="仿宋" w:eastAsia="仿宋" w:cs="仿宋"/>
          <w:b w:val="0"/>
          <w:bCs w:val="0"/>
          <w:color w:val="000000"/>
          <w:kern w:val="2"/>
          <w:sz w:val="24"/>
          <w:szCs w:val="24"/>
          <w:highlight w:val="none"/>
          <w:lang w:val="en-US" w:eastAsia="zh-CN" w:bidi="en-US"/>
        </w:rPr>
      </w:pPr>
    </w:p>
    <w:p w14:paraId="27A16AE6">
      <w:pPr>
        <w:jc w:val="center"/>
        <w:rPr>
          <w:rFonts w:hint="eastAsia" w:ascii="仿宋" w:hAnsi="仿宋" w:eastAsia="仿宋" w:cs="仿宋"/>
          <w:b w:val="0"/>
          <w:bCs w:val="0"/>
          <w:color w:val="000000"/>
          <w:kern w:val="2"/>
          <w:sz w:val="24"/>
          <w:szCs w:val="24"/>
          <w:highlight w:val="none"/>
          <w:lang w:val="en-US" w:eastAsia="zh-CN" w:bidi="en-US"/>
        </w:rPr>
      </w:pPr>
    </w:p>
    <w:p w14:paraId="4C451825">
      <w:pPr>
        <w:jc w:val="center"/>
        <w:rPr>
          <w:rFonts w:hint="eastAsia" w:ascii="仿宋" w:hAnsi="仿宋" w:eastAsia="仿宋" w:cs="仿宋"/>
          <w:b w:val="0"/>
          <w:bCs w:val="0"/>
          <w:color w:val="000000"/>
          <w:kern w:val="2"/>
          <w:sz w:val="24"/>
          <w:szCs w:val="24"/>
          <w:highlight w:val="none"/>
          <w:lang w:val="en-US" w:eastAsia="zh-CN" w:bidi="en-US"/>
        </w:rPr>
      </w:pPr>
      <w:r>
        <w:rPr>
          <w:rFonts w:hint="eastAsia" w:ascii="仿宋" w:hAnsi="仿宋" w:eastAsia="仿宋" w:cs="仿宋"/>
          <w:b w:val="0"/>
          <w:bCs w:val="0"/>
          <w:color w:val="000000"/>
          <w:kern w:val="2"/>
          <w:sz w:val="24"/>
          <w:szCs w:val="24"/>
          <w:highlight w:val="none"/>
          <w:lang w:val="en-US" w:eastAsia="zh-CN" w:bidi="en-US"/>
        </w:rPr>
        <w:drawing>
          <wp:inline distT="0" distB="0" distL="114300" distR="114300">
            <wp:extent cx="5215255" cy="3476625"/>
            <wp:effectExtent l="0" t="0" r="4445" b="9525"/>
            <wp:docPr id="71" name="图片 71" descr="83aefe5efd5fad0104408bb8534f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3aefe5efd5fad0104408bb8534f0b7"/>
                    <pic:cNvPicPr>
                      <a:picLocks noChangeAspect="1"/>
                    </pic:cNvPicPr>
                  </pic:nvPicPr>
                  <pic:blipFill>
                    <a:blip r:embed="rId41"/>
                    <a:stretch>
                      <a:fillRect/>
                    </a:stretch>
                  </pic:blipFill>
                  <pic:spPr>
                    <a:xfrm>
                      <a:off x="0" y="0"/>
                      <a:ext cx="5215255" cy="3476625"/>
                    </a:xfrm>
                    <a:prstGeom prst="rect">
                      <a:avLst/>
                    </a:prstGeom>
                  </pic:spPr>
                </pic:pic>
              </a:graphicData>
            </a:graphic>
          </wp:inline>
        </w:drawing>
      </w:r>
    </w:p>
    <w:p w14:paraId="0906A417">
      <w:pPr>
        <w:pStyle w:val="18"/>
        <w:bidi w:val="0"/>
        <w:rPr>
          <w:rFonts w:hint="eastAsia"/>
          <w:lang w:val="en-US" w:eastAsia="zh-CN"/>
        </w:rPr>
      </w:pPr>
      <w:bookmarkStart w:id="552" w:name="_Toc2758"/>
      <w:r>
        <w:rPr>
          <w:rFonts w:hint="eastAsia"/>
          <w:lang w:val="en-US" w:eastAsia="zh-CN"/>
        </w:rPr>
        <w:t>图33 组织新同学参观建川博物馆</w:t>
      </w:r>
      <w:bookmarkEnd w:id="552"/>
    </w:p>
    <w:p w14:paraId="22E7C8C7">
      <w:pPr>
        <w:jc w:val="center"/>
        <w:rPr>
          <w:rFonts w:hint="eastAsia" w:ascii="仿宋" w:hAnsi="仿宋" w:eastAsia="仿宋" w:cs="仿宋"/>
          <w:b w:val="0"/>
          <w:bCs w:val="0"/>
          <w:color w:val="000000"/>
          <w:kern w:val="2"/>
          <w:sz w:val="24"/>
          <w:szCs w:val="24"/>
          <w:highlight w:val="none"/>
          <w:lang w:val="en-US" w:eastAsia="zh-CN" w:bidi="en-US"/>
        </w:rPr>
      </w:pPr>
      <w:r>
        <w:rPr>
          <w:rFonts w:hint="eastAsia" w:ascii="仿宋" w:hAnsi="仿宋" w:eastAsia="仿宋" w:cs="仿宋"/>
          <w:b w:val="0"/>
          <w:bCs w:val="0"/>
          <w:color w:val="000000"/>
          <w:kern w:val="2"/>
          <w:sz w:val="24"/>
          <w:szCs w:val="24"/>
          <w:highlight w:val="none"/>
          <w:lang w:val="en-US" w:eastAsia="zh-CN" w:bidi="en-US"/>
        </w:rPr>
        <w:drawing>
          <wp:inline distT="0" distB="0" distL="114300" distR="114300">
            <wp:extent cx="5257800" cy="3505200"/>
            <wp:effectExtent l="0" t="0" r="0" b="0"/>
            <wp:docPr id="73" name="图片 73" descr="IMG_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7355"/>
                    <pic:cNvPicPr>
                      <a:picLocks noChangeAspect="1"/>
                    </pic:cNvPicPr>
                  </pic:nvPicPr>
                  <pic:blipFill>
                    <a:blip r:embed="rId42"/>
                    <a:stretch>
                      <a:fillRect/>
                    </a:stretch>
                  </pic:blipFill>
                  <pic:spPr>
                    <a:xfrm>
                      <a:off x="0" y="0"/>
                      <a:ext cx="5257800" cy="3505200"/>
                    </a:xfrm>
                    <a:prstGeom prst="rect">
                      <a:avLst/>
                    </a:prstGeom>
                  </pic:spPr>
                </pic:pic>
              </a:graphicData>
            </a:graphic>
          </wp:inline>
        </w:drawing>
      </w:r>
    </w:p>
    <w:p w14:paraId="139E5DB1">
      <w:pPr>
        <w:pStyle w:val="18"/>
        <w:bidi w:val="0"/>
        <w:rPr>
          <w:rFonts w:hint="eastAsia"/>
          <w:lang w:val="en-US" w:eastAsia="zh-CN"/>
        </w:rPr>
      </w:pPr>
      <w:bookmarkStart w:id="553" w:name="_Toc25485"/>
      <w:r>
        <w:rPr>
          <w:rFonts w:hint="eastAsia"/>
          <w:lang w:val="en-US" w:eastAsia="zh-CN"/>
        </w:rPr>
        <w:t>图34 迎“篮”而上，有“球”必应篮球比赛</w:t>
      </w:r>
      <w:bookmarkEnd w:id="553"/>
    </w:p>
    <w:p w14:paraId="505F64D8">
      <w:pPr>
        <w:pStyle w:val="41"/>
        <w:bidi w:val="0"/>
        <w:rPr>
          <w:rFonts w:hint="default"/>
          <w:sz w:val="32"/>
          <w:szCs w:val="32"/>
          <w:lang w:val="en-US" w:eastAsia="zh-CN"/>
        </w:rPr>
      </w:pPr>
      <w:bookmarkStart w:id="554" w:name="_Toc15605"/>
      <w:r>
        <w:rPr>
          <w:rFonts w:hint="eastAsia"/>
          <w:sz w:val="32"/>
          <w:szCs w:val="32"/>
          <w:lang w:val="en-US" w:eastAsia="zh-CN"/>
        </w:rPr>
        <w:t>案例28：心系国防有你有我</w:t>
      </w:r>
      <w:bookmarkStart w:id="555" w:name="_Toc2960"/>
      <w:bookmarkStart w:id="556" w:name="_Toc17428"/>
      <w:r>
        <w:rPr>
          <w:rFonts w:hint="eastAsia"/>
          <w:sz w:val="32"/>
          <w:szCs w:val="32"/>
          <w:lang w:val="en-US" w:eastAsia="zh-CN"/>
        </w:rPr>
        <w:t>——国防训练</w:t>
      </w:r>
      <w:bookmarkEnd w:id="554"/>
      <w:bookmarkEnd w:id="555"/>
      <w:bookmarkEnd w:id="556"/>
    </w:p>
    <w:p w14:paraId="3E602BD5">
      <w:pPr>
        <w:keepNext w:val="0"/>
        <w:keepLines w:val="0"/>
        <w:pageBreakBefore w:val="0"/>
        <w:widowControl w:val="0"/>
        <w:kinsoku/>
        <w:wordWrap/>
        <w:overflowPunct/>
        <w:topLinePunct w:val="0"/>
        <w:autoSpaceDE/>
        <w:autoSpaceDN/>
        <w:bidi w:val="0"/>
        <w:spacing w:line="600" w:lineRule="exact"/>
        <w:jc w:val="center"/>
        <w:textAlignment w:val="auto"/>
        <w:rPr>
          <w:rFonts w:hint="eastAsia" w:ascii="Times New Roman" w:hAnsi="Times New Roman" w:eastAsia="方正小标宋_GBK" w:cs="Times New Roman"/>
          <w:bCs/>
          <w:kern w:val="44"/>
          <w:sz w:val="44"/>
          <w:szCs w:val="44"/>
          <w:shd w:val="clear"/>
          <w:lang w:val="en-US" w:eastAsia="zh-CN" w:bidi="ar-SA"/>
        </w:rPr>
      </w:pPr>
    </w:p>
    <w:p w14:paraId="15E568FD">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黑体_GBK" w:cs="Times New Roman"/>
          <w:b w:val="0"/>
          <w:bCs w:val="0"/>
          <w:sz w:val="32"/>
          <w:szCs w:val="32"/>
        </w:rPr>
        <w:t>一、背景目标</w:t>
      </w:r>
    </w:p>
    <w:p w14:paraId="6F5C3E91">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rPr>
        <w:t>鉴于当前国际形势的复杂性和多变性，国家安全正面临诸多挑战，学生接受国防教育显得尤为重要。在此背景下，重庆市机电工程高级技工学校将国防思想和素质教育置于重要位置，致力于通过国防教育强化学生的爱国主义情感和国防观念。此举旨在培养学生的国家安全意识和责任感，同时提升其综合素质，为国家的安全和发展培育更多具备高素质的技能型人才。</w:t>
      </w:r>
    </w:p>
    <w:p w14:paraId="2BE91703">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ascii="Times New Roman" w:hAnsi="Times New Roman" w:eastAsia="方正黑体_GBK" w:cs="Times New Roman"/>
          <w:b w:val="0"/>
          <w:bCs w:val="0"/>
          <w:sz w:val="32"/>
          <w:szCs w:val="32"/>
        </w:rPr>
      </w:pPr>
      <w:r>
        <w:rPr>
          <w:rFonts w:hint="eastAsia" w:ascii="Times New Roman" w:hAnsi="Times New Roman" w:eastAsia="方正黑体_GBK" w:cs="Times New Roman"/>
          <w:b w:val="0"/>
          <w:bCs w:val="0"/>
          <w:sz w:val="32"/>
          <w:szCs w:val="32"/>
        </w:rPr>
        <w:t>二、创新举措</w:t>
      </w:r>
    </w:p>
    <w:p w14:paraId="7CD8E289">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ascii="Times New Roman" w:hAnsi="Times New Roman" w:eastAsia="方正仿宋_GBK"/>
          <w:b w:val="0"/>
          <w:bCs w:val="0"/>
          <w:color w:val="111F2C"/>
          <w:sz w:val="32"/>
          <w:szCs w:val="32"/>
          <w:shd w:val="clear" w:color="auto" w:fill="FFFFFF"/>
        </w:rPr>
        <w:t>1</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开展国防教育课程，将国防知识融入日常教学，使学生在学习专业技能的同时，增强国防意识。</w:t>
      </w:r>
    </w:p>
    <w:p w14:paraId="64ED692B">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2</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开展国防班授衔仪式，通过正式的仪式，授予学生象征性的军衔，以此激发他们的荣誉感和责任感，让学生体验到军人的庄严和纪律，加深他们对国防重要性的认识。</w:t>
      </w:r>
    </w:p>
    <w:p w14:paraId="2F7A4D15">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3</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举办国防知识竞赛和演讲比赛，激发学生对国防知识的兴趣，提高他们的表达和思辨能力。</w:t>
      </w:r>
    </w:p>
    <w:p w14:paraId="06D7FB46">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4</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建设国防训练基地，为学生提供一个模拟实战环境，通过模拟战场训练、战术演练等实践活动，增强学生的实战技能和团队协作能力。为学生未来可能的军事职业道路提供了更多了解和准备的机会。</w:t>
      </w:r>
    </w:p>
    <w:p w14:paraId="45AD75D0">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b w:val="0"/>
          <w:bCs w:val="0"/>
          <w:color w:val="111F2C"/>
          <w:sz w:val="32"/>
          <w:szCs w:val="32"/>
          <w:shd w:val="clear" w:color="auto" w:fill="FFFFFF"/>
          <w:lang w:val="en-US" w:eastAsia="zh-CN"/>
        </w:rPr>
        <w:t>5</w:t>
      </w:r>
      <w:r>
        <w:rPr>
          <w:rFonts w:ascii="Times New Roman" w:hAnsi="Times New Roman" w:eastAsia="方正仿宋_GBK"/>
          <w:b w:val="0"/>
          <w:bCs w:val="0"/>
          <w:sz w:val="32"/>
          <w:szCs w:val="32"/>
        </w:rPr>
        <w:t>．</w:t>
      </w:r>
      <w:r>
        <w:rPr>
          <w:rFonts w:hint="eastAsia" w:ascii="Times New Roman" w:hAnsi="Times New Roman" w:eastAsia="方正仿宋_GBK" w:cs="Times New Roman"/>
          <w:b w:val="0"/>
          <w:bCs w:val="0"/>
          <w:sz w:val="32"/>
          <w:szCs w:val="32"/>
          <w:lang w:val="en-US" w:eastAsia="zh-CN"/>
        </w:rPr>
        <w:t>与当地武装部门合作，邀请现役军人进校进行国防教育，使学生能够直接从专业人士那里学习到最前沿的国防知识和军事技能。现役军人的参与不仅增加了课程的权威性和实用性，而且通过他们的亲身经历和生动讲述，激发了学生对国防事业的热爱和对军人职业的向往。此外，这种合作还为学生提供了与现役军人交流的机会，帮助他们更好地了解军队生活，为将来可能的军事职业道路打下坚实的基础。</w:t>
      </w:r>
    </w:p>
    <w:p w14:paraId="22D37297">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b w:val="0"/>
          <w:bCs w:val="0"/>
          <w:sz w:val="32"/>
          <w:szCs w:val="32"/>
          <w:lang w:val="en-US" w:eastAsia="zh-CN"/>
        </w:rPr>
        <w:t>6.组建护校队。护校队由国防班师生自愿组成，经过专业培训，负责校园的日常巡逻、突发事件的快速响应以及协助处理紧急安全事务。通过这一举措，不仅提升了学生的安全意识，还锻炼了他们的责任感和团</w:t>
      </w:r>
      <w:r>
        <w:rPr>
          <w:rFonts w:hint="eastAsia" w:ascii="Times New Roman" w:hAnsi="Times New Roman" w:eastAsia="方正仿宋_GBK" w:cs="Times New Roman"/>
          <w:sz w:val="32"/>
          <w:szCs w:val="32"/>
          <w:lang w:val="en-US" w:eastAsia="zh-CN"/>
        </w:rPr>
        <w:t>队协作精神。</w:t>
      </w:r>
    </w:p>
    <w:p w14:paraId="1C7E8CB2">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三、成果成效</w:t>
      </w:r>
    </w:p>
    <w:p w14:paraId="2115E233">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通过这些创新举措的实施，学校成功地将国防教育融入到学生的日常学习和生活中，显著提升了学生的国防意识和爱国主义情感。学生们在军事训练中锻炼了意志和体能，增强了集体荣誉感和团队协作能力。同时，通过国防教育的普及，学生们对国家安全有了更深刻的认识，为成为有责任感和使命感的公民打下了坚实的基础。</w:t>
      </w:r>
    </w:p>
    <w:p w14:paraId="66E8C9C0">
      <w:pPr>
        <w:jc w:val="center"/>
        <w:rPr>
          <w:rFonts w:hint="eastAsia" w:ascii="仿宋" w:hAnsi="仿宋" w:eastAsia="仿宋" w:cs="仿宋"/>
          <w:b w:val="0"/>
          <w:bCs w:val="0"/>
          <w:color w:val="000000"/>
          <w:kern w:val="2"/>
          <w:sz w:val="24"/>
          <w:szCs w:val="24"/>
          <w:highlight w:val="none"/>
          <w:lang w:val="en-US" w:eastAsia="zh-CN" w:bidi="en-US"/>
        </w:rPr>
      </w:pPr>
    </w:p>
    <w:p w14:paraId="62EE3805">
      <w:pPr>
        <w:jc w:val="center"/>
        <w:rPr>
          <w:rFonts w:hint="default" w:ascii="仿宋" w:hAnsi="仿宋" w:eastAsia="仿宋" w:cs="仿宋"/>
          <w:b w:val="0"/>
          <w:bCs w:val="0"/>
          <w:color w:val="000000"/>
          <w:kern w:val="2"/>
          <w:sz w:val="24"/>
          <w:szCs w:val="24"/>
          <w:highlight w:val="none"/>
          <w:lang w:val="en-US" w:eastAsia="zh-CN" w:bidi="en-US"/>
        </w:rPr>
      </w:pPr>
    </w:p>
    <w:p w14:paraId="7DF23DBB">
      <w:pPr>
        <w:jc w:val="center"/>
        <w:rPr>
          <w:rFonts w:hint="eastAsia" w:ascii="仿宋" w:hAnsi="仿宋" w:eastAsia="仿宋" w:cs="仿宋"/>
          <w:b w:val="0"/>
          <w:bCs w:val="0"/>
          <w:color w:val="000000"/>
          <w:kern w:val="2"/>
          <w:sz w:val="24"/>
          <w:szCs w:val="24"/>
          <w:highlight w:val="none"/>
          <w:lang w:val="en-US" w:eastAsia="zh-CN" w:bidi="en-US"/>
        </w:rPr>
      </w:pPr>
      <w:r>
        <w:rPr>
          <w:rFonts w:hint="eastAsia" w:ascii="仿宋" w:hAnsi="仿宋" w:eastAsia="仿宋" w:cs="仿宋"/>
          <w:b w:val="0"/>
          <w:bCs w:val="0"/>
          <w:color w:val="000000"/>
          <w:kern w:val="2"/>
          <w:sz w:val="24"/>
          <w:szCs w:val="24"/>
          <w:highlight w:val="none"/>
          <w:lang w:val="en-US" w:eastAsia="zh-CN" w:bidi="en-US"/>
        </w:rPr>
        <w:drawing>
          <wp:inline distT="0" distB="0" distL="114300" distR="114300">
            <wp:extent cx="5241290" cy="3322955"/>
            <wp:effectExtent l="0" t="0" r="16510" b="10795"/>
            <wp:docPr id="78" name="图片 78" descr="IMG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0490"/>
                    <pic:cNvPicPr>
                      <a:picLocks noChangeAspect="1"/>
                    </pic:cNvPicPr>
                  </pic:nvPicPr>
                  <pic:blipFill>
                    <a:blip r:embed="rId43"/>
                    <a:stretch>
                      <a:fillRect/>
                    </a:stretch>
                  </pic:blipFill>
                  <pic:spPr>
                    <a:xfrm>
                      <a:off x="0" y="0"/>
                      <a:ext cx="5241290" cy="3322955"/>
                    </a:xfrm>
                    <a:prstGeom prst="rect">
                      <a:avLst/>
                    </a:prstGeom>
                  </pic:spPr>
                </pic:pic>
              </a:graphicData>
            </a:graphic>
          </wp:inline>
        </w:drawing>
      </w:r>
    </w:p>
    <w:p w14:paraId="6FC6E668">
      <w:pPr>
        <w:pStyle w:val="18"/>
        <w:bidi w:val="0"/>
        <w:rPr>
          <w:rFonts w:hint="eastAsia"/>
          <w:lang w:val="en-US" w:eastAsia="zh-CN"/>
        </w:rPr>
      </w:pPr>
      <w:bookmarkStart w:id="557" w:name="_Toc8631"/>
      <w:r>
        <w:rPr>
          <w:rFonts w:hint="eastAsia"/>
          <w:lang w:val="en-US" w:eastAsia="zh-CN"/>
        </w:rPr>
        <w:t>图35 组织开展徒步拉练活动</w:t>
      </w:r>
      <w:bookmarkEnd w:id="557"/>
    </w:p>
    <w:p w14:paraId="587E4CA3">
      <w:pPr>
        <w:jc w:val="center"/>
        <w:rPr>
          <w:rFonts w:hint="eastAsia" w:ascii="仿宋" w:hAnsi="仿宋" w:eastAsia="仿宋" w:cs="仿宋"/>
          <w:b w:val="0"/>
          <w:bCs w:val="0"/>
          <w:color w:val="000000"/>
          <w:kern w:val="2"/>
          <w:sz w:val="24"/>
          <w:szCs w:val="24"/>
          <w:highlight w:val="none"/>
          <w:lang w:val="en-US" w:eastAsia="zh-CN" w:bidi="en-US"/>
        </w:rPr>
      </w:pPr>
      <w:r>
        <w:rPr>
          <w:rFonts w:hint="eastAsia" w:ascii="仿宋" w:hAnsi="仿宋" w:eastAsia="仿宋" w:cs="仿宋"/>
          <w:b w:val="0"/>
          <w:bCs w:val="0"/>
          <w:color w:val="000000"/>
          <w:kern w:val="2"/>
          <w:sz w:val="24"/>
          <w:szCs w:val="24"/>
          <w:highlight w:val="none"/>
          <w:lang w:val="en-US" w:eastAsia="zh-CN" w:bidi="en-US"/>
        </w:rPr>
        <w:drawing>
          <wp:inline distT="0" distB="0" distL="114300" distR="114300">
            <wp:extent cx="5257800" cy="3505200"/>
            <wp:effectExtent l="0" t="0" r="0" b="0"/>
            <wp:docPr id="79" name="图片 79" descr="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0588"/>
                    <pic:cNvPicPr>
                      <a:picLocks noChangeAspect="1"/>
                    </pic:cNvPicPr>
                  </pic:nvPicPr>
                  <pic:blipFill>
                    <a:blip r:embed="rId44"/>
                    <a:stretch>
                      <a:fillRect/>
                    </a:stretch>
                  </pic:blipFill>
                  <pic:spPr>
                    <a:xfrm>
                      <a:off x="0" y="0"/>
                      <a:ext cx="5257800" cy="3505200"/>
                    </a:xfrm>
                    <a:prstGeom prst="rect">
                      <a:avLst/>
                    </a:prstGeom>
                  </pic:spPr>
                </pic:pic>
              </a:graphicData>
            </a:graphic>
          </wp:inline>
        </w:drawing>
      </w:r>
    </w:p>
    <w:p w14:paraId="79A0E14F">
      <w:pPr>
        <w:pStyle w:val="18"/>
        <w:bidi w:val="0"/>
        <w:rPr>
          <w:rFonts w:hint="eastAsia"/>
          <w:lang w:val="en-US" w:eastAsia="zh-CN"/>
        </w:rPr>
      </w:pPr>
      <w:bookmarkStart w:id="558" w:name="_Toc21548"/>
      <w:r>
        <w:rPr>
          <w:rFonts w:hint="eastAsia"/>
          <w:lang w:val="en-US" w:eastAsia="zh-CN"/>
        </w:rPr>
        <w:t>图36 组织开展徒步拉练活动</w:t>
      </w:r>
      <w:bookmarkEnd w:id="558"/>
    </w:p>
    <w:p w14:paraId="2634789C">
      <w:pPr>
        <w:jc w:val="center"/>
        <w:rPr>
          <w:rFonts w:hint="eastAsia" w:ascii="仿宋" w:hAnsi="仿宋" w:eastAsia="仿宋" w:cs="仿宋"/>
          <w:b w:val="0"/>
          <w:bCs w:val="0"/>
          <w:color w:val="000000"/>
          <w:kern w:val="2"/>
          <w:sz w:val="24"/>
          <w:szCs w:val="24"/>
          <w:highlight w:val="none"/>
          <w:lang w:val="en-US" w:eastAsia="zh-CN" w:bidi="en-US"/>
        </w:rPr>
        <w:sectPr>
          <w:headerReference r:id="rId4" w:type="default"/>
          <w:footerReference r:id="rId5" w:type="default"/>
          <w:pgSz w:w="11906" w:h="16838"/>
          <w:pgMar w:top="2098" w:right="1474" w:bottom="1984" w:left="1587" w:header="851" w:footer="992" w:gutter="0"/>
          <w:pgNumType w:fmt="decimal" w:start="1"/>
          <w:cols w:space="425" w:num="1"/>
          <w:docGrid w:type="lines" w:linePitch="312" w:charSpace="0"/>
        </w:sectPr>
      </w:pPr>
    </w:p>
    <w:p w14:paraId="3293C0C7">
      <w:pPr>
        <w:pStyle w:val="41"/>
        <w:bidi w:val="0"/>
        <w:rPr>
          <w:rFonts w:hint="eastAsia"/>
          <w:sz w:val="32"/>
          <w:szCs w:val="32"/>
          <w:lang w:val="en-US" w:eastAsia="zh-CN"/>
        </w:rPr>
      </w:pPr>
      <w:bookmarkStart w:id="559" w:name="_Toc11962"/>
      <w:bookmarkStart w:id="560" w:name="_Toc19561"/>
      <w:bookmarkStart w:id="561" w:name="_Toc20586"/>
      <w:bookmarkStart w:id="562" w:name="_Toc31571"/>
      <w:bookmarkStart w:id="563" w:name="_Toc4725"/>
      <w:bookmarkStart w:id="564" w:name="_Toc14733"/>
      <w:r>
        <w:rPr>
          <w:rFonts w:hint="eastAsia"/>
          <w:sz w:val="32"/>
          <w:szCs w:val="32"/>
          <w:lang w:val="en-US" w:eastAsia="zh-CN"/>
        </w:rPr>
        <w:t>案例29：一技在手一生无忧</w:t>
      </w:r>
      <w:bookmarkEnd w:id="559"/>
      <w:bookmarkStart w:id="565" w:name="_Toc16933"/>
      <w:bookmarkStart w:id="566" w:name="_Toc13677"/>
      <w:r>
        <w:rPr>
          <w:rFonts w:hint="eastAsia"/>
          <w:sz w:val="32"/>
          <w:szCs w:val="32"/>
          <w:lang w:val="en-US" w:eastAsia="zh-CN"/>
        </w:rPr>
        <w:t>——职教活动周</w:t>
      </w:r>
      <w:bookmarkEnd w:id="560"/>
      <w:bookmarkEnd w:id="561"/>
      <w:bookmarkEnd w:id="562"/>
      <w:bookmarkEnd w:id="563"/>
      <w:bookmarkEnd w:id="564"/>
      <w:bookmarkEnd w:id="565"/>
      <w:bookmarkEnd w:id="566"/>
    </w:p>
    <w:p w14:paraId="3053027F">
      <w:pPr>
        <w:rPr>
          <w:rFonts w:hint="default"/>
          <w:lang w:val="en-US" w:eastAsia="zh-CN"/>
        </w:rPr>
      </w:pPr>
    </w:p>
    <w:p w14:paraId="7037D452">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一、背景目标</w:t>
      </w:r>
    </w:p>
    <w:p w14:paraId="761E9FAA">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rPr>
        <w:t>职业教育周活动的背景源于社会对职业教育重视程度的不断提升，以及国家对技能人才需求的日益增长。重庆市机电工程高级技工学校通过举办职业教育周活动，展示了技工院校的教学成果和人才培养特色，增强了社会各界对职业教育的认可和支持；同时，提升了学生的职业技能和就业竞争力，促进了产教融合、校企合作，推动了技工教育的高质量发展，为经济社会发展提供了更多高素质的技术技能人才。</w:t>
      </w:r>
    </w:p>
    <w:p w14:paraId="1272C470">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二、创新举措</w:t>
      </w:r>
    </w:p>
    <w:p w14:paraId="27FACB1F">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ascii="Times New Roman" w:hAnsi="Times New Roman" w:eastAsia="方正仿宋_GBK"/>
          <w:b w:val="0"/>
          <w:bCs/>
          <w:color w:val="111F2C"/>
          <w:sz w:val="32"/>
          <w:szCs w:val="32"/>
          <w:shd w:val="clear" w:color="auto" w:fill="FFFFFF"/>
        </w:rPr>
        <w:t>1</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设计互动体验区，让学生在参与中学习，通过模拟真实工作环境，让学生亲身体验不同职业角色，增强职业认知。</w:t>
      </w:r>
    </w:p>
    <w:p w14:paraId="0650CC9D">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2</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举办职业技能展示，邀请行业专家和企业代表作为评委，为学生提供展示自己技能的平台，同时为学生提供与行业接轨的机会。</w:t>
      </w:r>
    </w:p>
    <w:p w14:paraId="39F0BC51">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3</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开展职业规划讲座和咨询，帮助学生根据自身特点和兴趣，制定合理的职业发展路径，为未来就业做好准备。</w:t>
      </w:r>
    </w:p>
    <w:p w14:paraId="4B48E226">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b w:val="0"/>
          <w:bCs/>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4</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引入企业合作项目，让学生参与到真实的工作项目中，通过实践学习，提升解决实际问题的能力。</w:t>
      </w:r>
    </w:p>
    <w:p w14:paraId="66B151B1">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b w:val="0"/>
          <w:bCs/>
          <w:color w:val="111F2C"/>
          <w:sz w:val="32"/>
          <w:szCs w:val="32"/>
          <w:shd w:val="clear" w:color="auto" w:fill="FFFFFF"/>
          <w:lang w:val="en-US" w:eastAsia="zh-CN"/>
        </w:rPr>
        <w:t>5</w:t>
      </w:r>
      <w:r>
        <w:rPr>
          <w:rFonts w:ascii="Times New Roman" w:hAnsi="Times New Roman" w:eastAsia="方正仿宋_GBK"/>
          <w:b w:val="0"/>
          <w:bCs/>
          <w:sz w:val="32"/>
          <w:szCs w:val="32"/>
        </w:rPr>
        <w:t>．</w:t>
      </w:r>
      <w:r>
        <w:rPr>
          <w:rFonts w:hint="eastAsia" w:ascii="Times New Roman" w:hAnsi="Times New Roman" w:eastAsia="方正仿宋_GBK" w:cs="Times New Roman"/>
          <w:b w:val="0"/>
          <w:bCs/>
          <w:sz w:val="32"/>
          <w:szCs w:val="32"/>
          <w:lang w:val="en-US" w:eastAsia="zh-CN"/>
        </w:rPr>
        <w:t>利</w:t>
      </w:r>
      <w:r>
        <w:rPr>
          <w:rFonts w:hint="eastAsia" w:ascii="Times New Roman" w:hAnsi="Times New Roman" w:eastAsia="方正仿宋_GBK" w:cs="Times New Roman"/>
          <w:sz w:val="32"/>
          <w:szCs w:val="32"/>
          <w:lang w:val="en-US" w:eastAsia="zh-CN"/>
        </w:rPr>
        <w:t>用现代信息技术，如虚拟现实(VR)和增强现实(AR)，创造沉浸式学习环境，提高学习的趣味性和效率。</w:t>
      </w:r>
    </w:p>
    <w:p w14:paraId="52D8A31B">
      <w:pPr>
        <w:keepNext w:val="0"/>
        <w:keepLines w:val="0"/>
        <w:pageBreakBefore w:val="0"/>
        <w:widowControl w:val="0"/>
        <w:kinsoku/>
        <w:wordWrap/>
        <w:overflowPunct/>
        <w:topLinePunct w:val="0"/>
        <w:autoSpaceDE/>
        <w:autoSpaceDN/>
        <w:bidi w:val="0"/>
        <w:spacing w:line="600" w:lineRule="exact"/>
        <w:ind w:firstLine="672" w:firstLineChars="210"/>
        <w:textAlignment w:val="auto"/>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三、成果成效</w:t>
      </w:r>
    </w:p>
    <w:p w14:paraId="10B1E645">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通过职教活动周的举办，学生的职业技能得到了显著提升，他们对所学专业的认识更加深入，对未来职业道路有了更清晰的规划。同时，活动周也加强了学校与企业的联系，为学生提供了更多的实习和就业机会，为社会输送了更多具备实际操作能力和创新精神的高素质技术技能人才。</w:t>
      </w:r>
    </w:p>
    <w:p w14:paraId="42AE2801">
      <w:pPr>
        <w:jc w:val="both"/>
        <w:rPr>
          <w:rFonts w:hint="default" w:ascii="仿宋" w:hAnsi="仿宋" w:eastAsia="仿宋" w:cs="仿宋"/>
          <w:b w:val="0"/>
          <w:bCs w:val="0"/>
          <w:color w:val="000000"/>
          <w:kern w:val="2"/>
          <w:sz w:val="24"/>
          <w:szCs w:val="24"/>
          <w:highlight w:val="none"/>
          <w:lang w:val="en-US" w:eastAsia="zh-CN" w:bidi="en-US"/>
        </w:rPr>
      </w:pPr>
    </w:p>
    <w:p w14:paraId="7014E99B">
      <w:pPr>
        <w:jc w:val="center"/>
        <w:rPr>
          <w:rFonts w:hint="default" w:ascii="仿宋" w:hAnsi="仿宋" w:eastAsia="仿宋" w:cs="仿宋"/>
          <w:b w:val="0"/>
          <w:bCs w:val="0"/>
          <w:color w:val="000000"/>
          <w:kern w:val="2"/>
          <w:sz w:val="24"/>
          <w:szCs w:val="24"/>
          <w:highlight w:val="none"/>
          <w:lang w:val="en-US" w:eastAsia="zh-CN" w:bidi="en-US"/>
        </w:rPr>
      </w:pPr>
      <w:r>
        <w:rPr>
          <w:rFonts w:hint="default" w:ascii="仿宋" w:hAnsi="仿宋" w:eastAsia="仿宋" w:cs="仿宋"/>
          <w:b w:val="0"/>
          <w:bCs w:val="0"/>
          <w:color w:val="000000"/>
          <w:kern w:val="2"/>
          <w:sz w:val="24"/>
          <w:szCs w:val="24"/>
          <w:highlight w:val="none"/>
          <w:lang w:val="en-US" w:eastAsia="zh-CN" w:bidi="en-US"/>
        </w:rPr>
        <w:drawing>
          <wp:inline distT="0" distB="0" distL="114300" distR="114300">
            <wp:extent cx="5257800" cy="3505200"/>
            <wp:effectExtent l="0" t="0" r="0" b="0"/>
            <wp:docPr id="81" name="图片 81" descr="IMG_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8998"/>
                    <pic:cNvPicPr>
                      <a:picLocks noChangeAspect="1"/>
                    </pic:cNvPicPr>
                  </pic:nvPicPr>
                  <pic:blipFill>
                    <a:blip r:embed="rId45"/>
                    <a:stretch>
                      <a:fillRect/>
                    </a:stretch>
                  </pic:blipFill>
                  <pic:spPr>
                    <a:xfrm>
                      <a:off x="0" y="0"/>
                      <a:ext cx="5257800" cy="3505200"/>
                    </a:xfrm>
                    <a:prstGeom prst="rect">
                      <a:avLst/>
                    </a:prstGeom>
                  </pic:spPr>
                </pic:pic>
              </a:graphicData>
            </a:graphic>
          </wp:inline>
        </w:drawing>
      </w:r>
    </w:p>
    <w:p w14:paraId="79B5853D">
      <w:pPr>
        <w:pStyle w:val="18"/>
        <w:bidi w:val="0"/>
        <w:rPr>
          <w:rFonts w:hint="eastAsia"/>
          <w:lang w:val="en-US" w:eastAsia="zh-CN"/>
        </w:rPr>
      </w:pPr>
      <w:bookmarkStart w:id="567" w:name="_Toc25249"/>
      <w:r>
        <w:rPr>
          <w:rFonts w:hint="eastAsia"/>
          <w:lang w:val="en-US" w:eastAsia="zh-CN"/>
        </w:rPr>
        <w:t>图37 一技在手，一生无忧”职业教育活动周家长开放日</w:t>
      </w:r>
      <w:bookmarkEnd w:id="567"/>
    </w:p>
    <w:p w14:paraId="71ECC269">
      <w:pPr>
        <w:bidi w:val="0"/>
        <w:rPr>
          <w:rFonts w:hint="default"/>
          <w:lang w:val="en-US" w:eastAsia="zh-CN"/>
        </w:rPr>
      </w:pPr>
    </w:p>
    <w:p w14:paraId="45B2DFB1">
      <w:pPr>
        <w:bidi w:val="0"/>
        <w:rPr>
          <w:rFonts w:hint="default"/>
          <w:lang w:val="en-US" w:eastAsia="zh-CN"/>
        </w:rPr>
      </w:pPr>
    </w:p>
    <w:p w14:paraId="2BCA5696">
      <w:pPr>
        <w:bidi w:val="0"/>
        <w:rPr>
          <w:rFonts w:hint="default"/>
          <w:lang w:val="en-US" w:eastAsia="zh-CN"/>
        </w:rPr>
      </w:pPr>
    </w:p>
    <w:p w14:paraId="7C32A882">
      <w:pPr>
        <w:bidi w:val="0"/>
        <w:rPr>
          <w:rFonts w:hint="default"/>
          <w:lang w:val="en-US" w:eastAsia="zh-CN"/>
        </w:rPr>
      </w:pPr>
    </w:p>
    <w:p w14:paraId="63D9690D">
      <w:pPr>
        <w:bidi w:val="0"/>
        <w:rPr>
          <w:rFonts w:hint="default"/>
          <w:lang w:val="en-US" w:eastAsia="zh-CN"/>
        </w:rPr>
      </w:pPr>
    </w:p>
    <w:p w14:paraId="622953E2">
      <w:pPr>
        <w:pStyle w:val="18"/>
        <w:bidi w:val="0"/>
        <w:rPr>
          <w:rFonts w:hint="eastAsia"/>
          <w:lang w:val="en-US" w:eastAsia="zh-CN"/>
        </w:rPr>
      </w:pPr>
      <w:r>
        <w:rPr>
          <w:rFonts w:hint="default"/>
          <w:lang w:val="en-US" w:eastAsia="zh-CN"/>
        </w:rPr>
        <w:drawing>
          <wp:anchor distT="0" distB="0" distL="114300" distR="114300" simplePos="0" relativeHeight="251675648" behindDoc="0" locked="0" layoutInCell="1" allowOverlap="1">
            <wp:simplePos x="0" y="0"/>
            <wp:positionH relativeFrom="column">
              <wp:posOffset>175895</wp:posOffset>
            </wp:positionH>
            <wp:positionV relativeFrom="paragraph">
              <wp:posOffset>20320</wp:posOffset>
            </wp:positionV>
            <wp:extent cx="5257800" cy="3505200"/>
            <wp:effectExtent l="0" t="0" r="0" b="0"/>
            <wp:wrapNone/>
            <wp:docPr id="2" name="图片 2" descr="IMG_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092"/>
                    <pic:cNvPicPr>
                      <a:picLocks noChangeAspect="1"/>
                    </pic:cNvPicPr>
                  </pic:nvPicPr>
                  <pic:blipFill>
                    <a:blip r:embed="rId46"/>
                    <a:stretch>
                      <a:fillRect/>
                    </a:stretch>
                  </pic:blipFill>
                  <pic:spPr>
                    <a:xfrm>
                      <a:off x="0" y="0"/>
                      <a:ext cx="5257800" cy="3505200"/>
                    </a:xfrm>
                    <a:prstGeom prst="rect">
                      <a:avLst/>
                    </a:prstGeom>
                  </pic:spPr>
                </pic:pic>
              </a:graphicData>
            </a:graphic>
          </wp:anchor>
        </w:drawing>
      </w:r>
    </w:p>
    <w:p w14:paraId="4E4D94A7">
      <w:pPr>
        <w:pStyle w:val="18"/>
        <w:bidi w:val="0"/>
        <w:rPr>
          <w:rFonts w:hint="eastAsia"/>
          <w:lang w:val="en-US" w:eastAsia="zh-CN"/>
        </w:rPr>
      </w:pPr>
    </w:p>
    <w:p w14:paraId="3446A610">
      <w:pPr>
        <w:pStyle w:val="18"/>
        <w:bidi w:val="0"/>
        <w:rPr>
          <w:rFonts w:hint="eastAsia"/>
          <w:lang w:val="en-US" w:eastAsia="zh-CN"/>
        </w:rPr>
      </w:pPr>
    </w:p>
    <w:p w14:paraId="7E6D092E">
      <w:pPr>
        <w:pStyle w:val="18"/>
        <w:bidi w:val="0"/>
        <w:rPr>
          <w:rFonts w:hint="eastAsia"/>
          <w:lang w:val="en-US" w:eastAsia="zh-CN"/>
        </w:rPr>
      </w:pPr>
    </w:p>
    <w:p w14:paraId="41355165">
      <w:pPr>
        <w:pStyle w:val="18"/>
        <w:bidi w:val="0"/>
        <w:rPr>
          <w:rFonts w:hint="eastAsia"/>
          <w:lang w:val="en-US" w:eastAsia="zh-CN"/>
        </w:rPr>
      </w:pPr>
    </w:p>
    <w:p w14:paraId="2B5D2C6B">
      <w:pPr>
        <w:pStyle w:val="18"/>
        <w:bidi w:val="0"/>
        <w:rPr>
          <w:rFonts w:hint="eastAsia"/>
          <w:lang w:val="en-US" w:eastAsia="zh-CN"/>
        </w:rPr>
      </w:pPr>
    </w:p>
    <w:p w14:paraId="0F762838">
      <w:pPr>
        <w:pStyle w:val="18"/>
        <w:bidi w:val="0"/>
        <w:rPr>
          <w:rFonts w:hint="eastAsia"/>
          <w:lang w:val="en-US" w:eastAsia="zh-CN"/>
        </w:rPr>
      </w:pPr>
    </w:p>
    <w:p w14:paraId="42142D0F">
      <w:pPr>
        <w:pStyle w:val="18"/>
        <w:bidi w:val="0"/>
        <w:rPr>
          <w:rFonts w:hint="eastAsia"/>
          <w:lang w:val="en-US" w:eastAsia="zh-CN"/>
        </w:rPr>
      </w:pPr>
    </w:p>
    <w:p w14:paraId="1C8AF19D">
      <w:pPr>
        <w:pStyle w:val="18"/>
        <w:bidi w:val="0"/>
        <w:jc w:val="both"/>
        <w:rPr>
          <w:rFonts w:hint="eastAsia"/>
          <w:lang w:val="en-US" w:eastAsia="zh-CN"/>
        </w:rPr>
      </w:pPr>
    </w:p>
    <w:p w14:paraId="6B3D4944">
      <w:pPr>
        <w:pStyle w:val="18"/>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3A14CE6">
      <w:pPr>
        <w:pStyle w:val="18"/>
        <w:bidi w:val="0"/>
        <w:rPr>
          <w:rFonts w:hint="eastAsia"/>
          <w:lang w:val="en-US" w:eastAsia="zh-CN"/>
        </w:rPr>
      </w:pPr>
      <w:bookmarkStart w:id="568" w:name="_Toc24932"/>
      <w:r>
        <w:rPr>
          <w:rFonts w:hint="eastAsia"/>
          <w:lang w:val="en-US" w:eastAsia="zh-CN"/>
        </w:rPr>
        <w:t>图38 一技在手，一生无忧”职业教育活动周互动体验区</w:t>
      </w:r>
      <w:bookmarkEnd w:id="568"/>
    </w:p>
    <w:p w14:paraId="0AAB994A">
      <w:pPr>
        <w:rPr>
          <w:rFonts w:hint="eastAsia"/>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191770</wp:posOffset>
            </wp:positionH>
            <wp:positionV relativeFrom="paragraph">
              <wp:posOffset>122555</wp:posOffset>
            </wp:positionV>
            <wp:extent cx="5257800" cy="3505200"/>
            <wp:effectExtent l="0" t="0" r="0" b="0"/>
            <wp:wrapNone/>
            <wp:docPr id="43" name="图片 43" descr="IMG_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9042"/>
                    <pic:cNvPicPr>
                      <a:picLocks noChangeAspect="1"/>
                    </pic:cNvPicPr>
                  </pic:nvPicPr>
                  <pic:blipFill>
                    <a:blip r:embed="rId47"/>
                    <a:stretch>
                      <a:fillRect/>
                    </a:stretch>
                  </pic:blipFill>
                  <pic:spPr>
                    <a:xfrm>
                      <a:off x="0" y="0"/>
                      <a:ext cx="5257800" cy="3505200"/>
                    </a:xfrm>
                    <a:prstGeom prst="rect">
                      <a:avLst/>
                    </a:prstGeom>
                  </pic:spPr>
                </pic:pic>
              </a:graphicData>
            </a:graphic>
          </wp:anchor>
        </w:drawing>
      </w:r>
    </w:p>
    <w:p w14:paraId="1436CF6B">
      <w:pPr>
        <w:rPr>
          <w:rFonts w:hint="eastAsia"/>
          <w:lang w:val="en-US" w:eastAsia="zh-CN"/>
        </w:rPr>
      </w:pPr>
    </w:p>
    <w:p w14:paraId="79558EFA">
      <w:pPr>
        <w:rPr>
          <w:rFonts w:hint="eastAsia"/>
          <w:lang w:val="en-US" w:eastAsia="zh-CN"/>
        </w:rPr>
      </w:pPr>
    </w:p>
    <w:p w14:paraId="2860A26D">
      <w:pPr>
        <w:rPr>
          <w:rFonts w:hint="eastAsia"/>
          <w:lang w:val="en-US" w:eastAsia="zh-CN"/>
        </w:rPr>
      </w:pPr>
    </w:p>
    <w:p w14:paraId="1B490A61">
      <w:pPr>
        <w:rPr>
          <w:rFonts w:hint="eastAsia"/>
          <w:lang w:val="en-US" w:eastAsia="zh-CN"/>
        </w:rPr>
      </w:pPr>
    </w:p>
    <w:p w14:paraId="319BC8C2">
      <w:pPr>
        <w:rPr>
          <w:rFonts w:hint="eastAsia"/>
          <w:lang w:val="en-US" w:eastAsia="zh-CN"/>
        </w:rPr>
      </w:pPr>
    </w:p>
    <w:p w14:paraId="055AB630">
      <w:pPr>
        <w:rPr>
          <w:rFonts w:hint="eastAsia"/>
          <w:lang w:val="en-US" w:eastAsia="zh-CN"/>
        </w:rPr>
      </w:pPr>
    </w:p>
    <w:p w14:paraId="79F15C91">
      <w:pPr>
        <w:rPr>
          <w:rFonts w:hint="eastAsia"/>
          <w:lang w:val="en-US" w:eastAsia="zh-CN"/>
        </w:rPr>
      </w:pPr>
    </w:p>
    <w:p w14:paraId="0995F84C">
      <w:pPr>
        <w:rPr>
          <w:rFonts w:hint="eastAsia"/>
          <w:lang w:val="en-US" w:eastAsia="zh-CN"/>
        </w:rPr>
      </w:pPr>
    </w:p>
    <w:p w14:paraId="12C9AD04">
      <w:pPr>
        <w:rPr>
          <w:rFonts w:hint="eastAsia"/>
          <w:lang w:val="en-US" w:eastAsia="zh-CN"/>
        </w:rPr>
      </w:pPr>
    </w:p>
    <w:p w14:paraId="4357C9EF">
      <w:pPr>
        <w:rPr>
          <w:rFonts w:hint="eastAsia"/>
          <w:lang w:val="en-US" w:eastAsia="zh-CN"/>
        </w:rPr>
      </w:pPr>
    </w:p>
    <w:p w14:paraId="2C4BFF9B">
      <w:pPr>
        <w:rPr>
          <w:rFonts w:hint="eastAsia"/>
          <w:lang w:val="en-US" w:eastAsia="zh-CN"/>
        </w:rPr>
      </w:pPr>
    </w:p>
    <w:p w14:paraId="1CAD4086">
      <w:pPr>
        <w:rPr>
          <w:rFonts w:hint="eastAsia"/>
          <w:lang w:val="en-US" w:eastAsia="zh-CN"/>
        </w:rPr>
      </w:pPr>
    </w:p>
    <w:p w14:paraId="763420F9">
      <w:pPr>
        <w:rPr>
          <w:rFonts w:hint="eastAsia"/>
          <w:lang w:val="en-US" w:eastAsia="zh-CN"/>
        </w:rPr>
      </w:pPr>
    </w:p>
    <w:p w14:paraId="6756FF7E">
      <w:pPr>
        <w:rPr>
          <w:rFonts w:hint="eastAsia"/>
          <w:lang w:val="en-US" w:eastAsia="zh-CN"/>
        </w:rPr>
      </w:pPr>
    </w:p>
    <w:p w14:paraId="104CE457">
      <w:pPr>
        <w:rPr>
          <w:rFonts w:hint="eastAsia"/>
          <w:lang w:val="en-US" w:eastAsia="zh-CN"/>
        </w:rPr>
      </w:pPr>
    </w:p>
    <w:p w14:paraId="166AFAD5">
      <w:pPr>
        <w:rPr>
          <w:rFonts w:hint="default"/>
          <w:lang w:val="en-US" w:eastAsia="zh-CN"/>
        </w:rPr>
      </w:pPr>
    </w:p>
    <w:p w14:paraId="21339E72">
      <w:pPr>
        <w:pStyle w:val="18"/>
        <w:bidi w:val="0"/>
        <w:rPr>
          <w:rFonts w:hint="eastAsia"/>
          <w:lang w:val="en-US" w:eastAsia="zh-CN"/>
        </w:rPr>
      </w:pPr>
    </w:p>
    <w:p w14:paraId="45EEDB21">
      <w:pPr>
        <w:pStyle w:val="18"/>
        <w:bidi w:val="0"/>
        <w:rPr>
          <w:rFonts w:hint="eastAsia"/>
          <w:lang w:val="en-US" w:eastAsia="zh-CN"/>
        </w:rPr>
      </w:pPr>
      <w:bookmarkStart w:id="569" w:name="_Toc6929"/>
      <w:r>
        <w:rPr>
          <w:rFonts w:hint="eastAsia"/>
          <w:lang w:val="en-US" w:eastAsia="zh-CN"/>
        </w:rPr>
        <w:t>图39 一技在手，一生无忧”职业教育活动周职业技能展示</w:t>
      </w:r>
      <w:bookmarkEnd w:id="569"/>
    </w:p>
    <w:p w14:paraId="41ABFA9A">
      <w:pPr>
        <w:rPr>
          <w:rFonts w:hint="default"/>
          <w:lang w:val="en-US" w:eastAsia="zh-CN"/>
        </w:rPr>
      </w:pPr>
      <w:r>
        <w:rPr>
          <w:rFonts w:hint="default"/>
          <w:lang w:val="en-US" w:eastAsia="zh-CN"/>
        </w:rPr>
        <w:drawing>
          <wp:anchor distT="0" distB="0" distL="114300" distR="114300" simplePos="0" relativeHeight="251676672" behindDoc="0" locked="0" layoutInCell="1" allowOverlap="1">
            <wp:simplePos x="0" y="0"/>
            <wp:positionH relativeFrom="column">
              <wp:posOffset>193675</wp:posOffset>
            </wp:positionH>
            <wp:positionV relativeFrom="paragraph">
              <wp:posOffset>35560</wp:posOffset>
            </wp:positionV>
            <wp:extent cx="5257800" cy="3505200"/>
            <wp:effectExtent l="0" t="0" r="0" b="0"/>
            <wp:wrapNone/>
            <wp:docPr id="83" name="图片 83" descr="IMG_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1699"/>
                    <pic:cNvPicPr>
                      <a:picLocks noChangeAspect="1"/>
                    </pic:cNvPicPr>
                  </pic:nvPicPr>
                  <pic:blipFill>
                    <a:blip r:embed="rId48"/>
                    <a:stretch>
                      <a:fillRect/>
                    </a:stretch>
                  </pic:blipFill>
                  <pic:spPr>
                    <a:xfrm>
                      <a:off x="0" y="0"/>
                      <a:ext cx="5257800" cy="3505200"/>
                    </a:xfrm>
                    <a:prstGeom prst="rect">
                      <a:avLst/>
                    </a:prstGeom>
                  </pic:spPr>
                </pic:pic>
              </a:graphicData>
            </a:graphic>
          </wp:anchor>
        </w:drawing>
      </w:r>
    </w:p>
    <w:p w14:paraId="69499561">
      <w:pPr>
        <w:bidi w:val="0"/>
        <w:rPr>
          <w:rFonts w:hint="default"/>
          <w:lang w:val="en-US" w:eastAsia="zh-CN"/>
        </w:rPr>
      </w:pPr>
    </w:p>
    <w:p w14:paraId="7B30CAD3">
      <w:pPr>
        <w:bidi w:val="0"/>
        <w:rPr>
          <w:rFonts w:hint="default"/>
          <w:lang w:val="en-US" w:eastAsia="zh-CN"/>
        </w:rPr>
      </w:pPr>
    </w:p>
    <w:p w14:paraId="4A8F9B01">
      <w:pPr>
        <w:bidi w:val="0"/>
        <w:rPr>
          <w:rFonts w:hint="default"/>
          <w:lang w:val="en-US" w:eastAsia="zh-CN"/>
        </w:rPr>
      </w:pPr>
    </w:p>
    <w:p w14:paraId="7C77DC5A">
      <w:pPr>
        <w:bidi w:val="0"/>
        <w:rPr>
          <w:rFonts w:hint="default"/>
          <w:lang w:val="en-US" w:eastAsia="zh-CN"/>
        </w:rPr>
      </w:pPr>
    </w:p>
    <w:p w14:paraId="63717991">
      <w:pPr>
        <w:bidi w:val="0"/>
        <w:rPr>
          <w:rFonts w:hint="default"/>
          <w:lang w:val="en-US" w:eastAsia="zh-CN"/>
        </w:rPr>
      </w:pPr>
    </w:p>
    <w:p w14:paraId="19994001">
      <w:pPr>
        <w:bidi w:val="0"/>
        <w:rPr>
          <w:rFonts w:hint="default"/>
          <w:lang w:val="en-US" w:eastAsia="zh-CN"/>
        </w:rPr>
      </w:pPr>
    </w:p>
    <w:p w14:paraId="6B056FA6">
      <w:pPr>
        <w:bidi w:val="0"/>
        <w:rPr>
          <w:rFonts w:hint="default"/>
          <w:lang w:val="en-US" w:eastAsia="zh-CN"/>
        </w:rPr>
      </w:pPr>
    </w:p>
    <w:p w14:paraId="4F696FF5">
      <w:pPr>
        <w:bidi w:val="0"/>
        <w:rPr>
          <w:rFonts w:hint="default"/>
          <w:lang w:val="en-US" w:eastAsia="zh-CN"/>
        </w:rPr>
      </w:pPr>
    </w:p>
    <w:p w14:paraId="25F4E158">
      <w:pPr>
        <w:bidi w:val="0"/>
        <w:rPr>
          <w:rFonts w:hint="default"/>
          <w:lang w:val="en-US" w:eastAsia="zh-CN"/>
        </w:rPr>
      </w:pPr>
    </w:p>
    <w:p w14:paraId="12CBBFD7">
      <w:pPr>
        <w:bidi w:val="0"/>
        <w:rPr>
          <w:rFonts w:hint="default"/>
          <w:lang w:val="en-US" w:eastAsia="zh-CN"/>
        </w:rPr>
      </w:pPr>
    </w:p>
    <w:p w14:paraId="4E963C8F">
      <w:pPr>
        <w:bidi w:val="0"/>
        <w:rPr>
          <w:rFonts w:hint="default"/>
          <w:lang w:val="en-US" w:eastAsia="zh-CN"/>
        </w:rPr>
      </w:pPr>
    </w:p>
    <w:p w14:paraId="35231DF7">
      <w:pPr>
        <w:bidi w:val="0"/>
        <w:rPr>
          <w:rFonts w:hint="default"/>
          <w:lang w:val="en-US" w:eastAsia="zh-CN"/>
        </w:rPr>
      </w:pPr>
    </w:p>
    <w:p w14:paraId="7EF9AF0B">
      <w:pPr>
        <w:bidi w:val="0"/>
        <w:rPr>
          <w:rFonts w:hint="default"/>
          <w:lang w:val="en-US" w:eastAsia="zh-CN"/>
        </w:rPr>
      </w:pPr>
    </w:p>
    <w:p w14:paraId="600A030A">
      <w:pPr>
        <w:bidi w:val="0"/>
        <w:rPr>
          <w:rFonts w:hint="default"/>
          <w:lang w:val="en-US" w:eastAsia="zh-CN"/>
        </w:rPr>
      </w:pPr>
    </w:p>
    <w:p w14:paraId="4153BB90">
      <w:pPr>
        <w:bidi w:val="0"/>
        <w:rPr>
          <w:rFonts w:hint="default"/>
          <w:lang w:val="en-US" w:eastAsia="zh-CN"/>
        </w:rPr>
      </w:pPr>
    </w:p>
    <w:p w14:paraId="3BC2E52A">
      <w:pPr>
        <w:bidi w:val="0"/>
        <w:rPr>
          <w:rFonts w:hint="default"/>
          <w:lang w:val="en-US" w:eastAsia="zh-CN"/>
        </w:rPr>
      </w:pPr>
    </w:p>
    <w:p w14:paraId="246609FE">
      <w:pPr>
        <w:bidi w:val="0"/>
        <w:rPr>
          <w:rFonts w:hint="default"/>
          <w:lang w:val="en-US" w:eastAsia="zh-CN"/>
        </w:rPr>
      </w:pPr>
    </w:p>
    <w:p w14:paraId="561C1A6F">
      <w:pPr>
        <w:pStyle w:val="18"/>
        <w:bidi w:val="0"/>
        <w:rPr>
          <w:rFonts w:hint="default"/>
          <w:lang w:val="en-US" w:eastAsia="zh-CN"/>
        </w:rPr>
      </w:pPr>
      <w:bookmarkStart w:id="570" w:name="_Toc30059"/>
      <w:r>
        <w:rPr>
          <w:rFonts w:hint="eastAsia"/>
          <w:lang w:val="en-US" w:eastAsia="zh-CN"/>
        </w:rPr>
        <w:t>图40 一技在手，一生无忧”职业教育活动周闭幕式</w:t>
      </w:r>
      <w:bookmarkEnd w:id="570"/>
    </w:p>
    <w:p w14:paraId="6858E310">
      <w:pPr>
        <w:jc w:val="center"/>
        <w:rPr>
          <w:rFonts w:hint="default" w:ascii="仿宋" w:hAnsi="仿宋" w:eastAsia="仿宋" w:cs="仿宋"/>
          <w:b w:val="0"/>
          <w:bCs w:val="0"/>
          <w:color w:val="000000"/>
          <w:kern w:val="2"/>
          <w:sz w:val="24"/>
          <w:szCs w:val="24"/>
          <w:highlight w:val="none"/>
          <w:lang w:val="en-US" w:eastAsia="zh-CN" w:bidi="en-US"/>
        </w:rPr>
      </w:pPr>
    </w:p>
    <w:p w14:paraId="266A9204">
      <w:pPr>
        <w:jc w:val="center"/>
        <w:rPr>
          <w:rFonts w:hint="default" w:ascii="仿宋" w:hAnsi="仿宋" w:eastAsia="仿宋" w:cs="仿宋"/>
          <w:b w:val="0"/>
          <w:bCs w:val="0"/>
          <w:color w:val="000000"/>
          <w:kern w:val="2"/>
          <w:sz w:val="24"/>
          <w:szCs w:val="24"/>
          <w:highlight w:val="none"/>
          <w:lang w:val="en-US" w:eastAsia="zh-CN" w:bidi="en-US"/>
        </w:rPr>
      </w:pPr>
      <w:r>
        <w:rPr>
          <w:rFonts w:hint="default" w:ascii="仿宋" w:hAnsi="仿宋" w:eastAsia="仿宋" w:cs="仿宋"/>
          <w:b w:val="0"/>
          <w:bCs w:val="0"/>
          <w:color w:val="000000"/>
          <w:kern w:val="2"/>
          <w:sz w:val="24"/>
          <w:szCs w:val="24"/>
          <w:highlight w:val="none"/>
          <w:lang w:val="en-US" w:eastAsia="zh-CN" w:bidi="en-US"/>
        </w:rPr>
        <w:drawing>
          <wp:inline distT="0" distB="0" distL="114300" distR="114300">
            <wp:extent cx="5257800" cy="3505200"/>
            <wp:effectExtent l="0" t="0" r="0" b="0"/>
            <wp:docPr id="52" name="图片 52" descr="IMG_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7101"/>
                    <pic:cNvPicPr>
                      <a:picLocks noChangeAspect="1"/>
                    </pic:cNvPicPr>
                  </pic:nvPicPr>
                  <pic:blipFill>
                    <a:blip r:embed="rId49"/>
                    <a:stretch>
                      <a:fillRect/>
                    </a:stretch>
                  </pic:blipFill>
                  <pic:spPr>
                    <a:xfrm>
                      <a:off x="0" y="0"/>
                      <a:ext cx="5257800" cy="3505200"/>
                    </a:xfrm>
                    <a:prstGeom prst="rect">
                      <a:avLst/>
                    </a:prstGeom>
                  </pic:spPr>
                </pic:pic>
              </a:graphicData>
            </a:graphic>
          </wp:inline>
        </w:drawing>
      </w:r>
    </w:p>
    <w:p w14:paraId="77C4D0DE">
      <w:pPr>
        <w:pStyle w:val="18"/>
        <w:bidi w:val="0"/>
        <w:rPr>
          <w:rFonts w:hint="eastAsia" w:ascii="Times New Roman" w:hAnsi="Times New Roman" w:eastAsia="方正小标宋_GBK" w:cs="Times New Roman"/>
          <w:bCs/>
          <w:kern w:val="44"/>
          <w:sz w:val="44"/>
          <w:szCs w:val="44"/>
          <w:shd w:val="clear"/>
          <w:lang w:val="en-US" w:eastAsia="zh-CN" w:bidi="ar-SA"/>
        </w:rPr>
      </w:pPr>
      <w:bookmarkStart w:id="571" w:name="_Toc25901"/>
      <w:r>
        <w:rPr>
          <w:rFonts w:hint="eastAsia"/>
          <w:lang w:val="en-US" w:eastAsia="zh-CN"/>
        </w:rPr>
        <w:t>图41 开展职业规划座谈会</w:t>
      </w:r>
      <w:bookmarkEnd w:id="571"/>
    </w:p>
    <w:p w14:paraId="3375D418">
      <w:pPr>
        <w:rPr>
          <w:rFonts w:hint="eastAsia" w:ascii="Times New Roman" w:hAnsi="Times New Roman" w:eastAsia="方正小标宋_GBK" w:cs="Times New Roman"/>
          <w:bCs/>
          <w:kern w:val="44"/>
          <w:sz w:val="44"/>
          <w:szCs w:val="44"/>
          <w:shd w:val="clear"/>
          <w:lang w:val="en-US" w:eastAsia="zh-CN" w:bidi="ar-SA"/>
        </w:rPr>
      </w:pPr>
      <w:r>
        <w:rPr>
          <w:rFonts w:hint="eastAsia" w:ascii="Times New Roman" w:hAnsi="Times New Roman" w:eastAsia="方正小标宋_GBK" w:cs="Times New Roman"/>
          <w:bCs/>
          <w:kern w:val="44"/>
          <w:sz w:val="44"/>
          <w:szCs w:val="44"/>
          <w:shd w:val="clear"/>
          <w:lang w:val="en-US" w:eastAsia="zh-CN" w:bidi="ar-SA"/>
        </w:rPr>
        <w:br w:type="page"/>
      </w:r>
    </w:p>
    <w:p w14:paraId="73EE7205">
      <w:pPr>
        <w:pStyle w:val="12"/>
        <w:keepNext w:val="0"/>
        <w:keepLines w:val="0"/>
        <w:pageBreakBefore w:val="0"/>
        <w:widowControl w:val="0"/>
        <w:kinsoku/>
        <w:wordWrap/>
        <w:overflowPunct/>
        <w:topLinePunct w:val="0"/>
        <w:autoSpaceDE/>
        <w:autoSpaceDN/>
        <w:bidi w:val="0"/>
        <w:spacing w:line="600" w:lineRule="exact"/>
        <w:jc w:val="center"/>
        <w:textAlignment w:val="auto"/>
        <w:rPr>
          <w:rFonts w:hint="eastAsia" w:ascii="Times New Roman" w:hAnsi="Times New Roman" w:eastAsia="方正小标宋_GBK" w:cs="Times New Roman"/>
          <w:bCs/>
          <w:kern w:val="44"/>
          <w:sz w:val="32"/>
          <w:szCs w:val="32"/>
          <w:shd w:val="clear"/>
          <w:lang w:val="en-US" w:eastAsia="zh-CN" w:bidi="ar-SA"/>
        </w:rPr>
      </w:pPr>
      <w:r>
        <w:rPr>
          <w:rFonts w:hint="eastAsia" w:ascii="Times New Roman" w:hAnsi="Times New Roman" w:eastAsia="方正小标宋_GBK" w:cs="Times New Roman"/>
          <w:bCs/>
          <w:kern w:val="44"/>
          <w:sz w:val="32"/>
          <w:szCs w:val="32"/>
          <w:shd w:val="clear"/>
          <w:lang w:val="en-US" w:eastAsia="zh-CN" w:bidi="ar-SA"/>
        </w:rPr>
        <w:t>案例</w:t>
      </w:r>
      <w:bookmarkStart w:id="572" w:name="_Toc26079"/>
      <w:r>
        <w:rPr>
          <w:rFonts w:hint="eastAsia" w:ascii="Times New Roman" w:hAnsi="Times New Roman" w:eastAsia="方正小标宋_GBK" w:cs="Times New Roman"/>
          <w:bCs/>
          <w:kern w:val="44"/>
          <w:sz w:val="32"/>
          <w:szCs w:val="32"/>
          <w:shd w:val="clear"/>
          <w:lang w:val="en-US" w:eastAsia="zh-CN" w:bidi="ar-SA"/>
        </w:rPr>
        <w:t>30：青春逐梦路：蒋小花同学的中职成长之旅</w:t>
      </w:r>
      <w:bookmarkEnd w:id="572"/>
    </w:p>
    <w:p w14:paraId="759D4739">
      <w:pPr>
        <w:rPr>
          <w:rFonts w:hint="eastAsia"/>
          <w:lang w:val="en-US" w:eastAsia="zh-CN"/>
        </w:rPr>
      </w:pPr>
    </w:p>
    <w:p w14:paraId="4CABC5A9">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在中职教育注重培养学生综合素养的大环境下，重庆市特殊教育中心积极倡导学生在学业、品德、社会实践等多方面全面发展，为学生搭建丰富多样的成长平台，鼓励学生发挥自身潜力，成为有担当、有能力、有爱心的新时代中职生。</w:t>
      </w:r>
    </w:p>
    <w:p w14:paraId="6A0C10FF">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对于蒋小花同学个人而言，期望通过参与各类活动锻炼自身组织协调、沟通交流以及团队合作能力，在帮助同学过程中提升品德修养，同时在学业上保持优秀，为未来升学或就业筑牢根基。</w:t>
      </w:r>
    </w:p>
    <w:p w14:paraId="3F0C5FE6">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2023学年，作为学生会主席的蒋小花同学获得优秀共青团干部称号，成为全校学生学习的榜样。其领导能力得到极大锻炼，在她的带领下学生会工作开展得有声有色，得到学校领导和老师的高度认可。与此同时，蒋小花同学学习成绩稳定在班级前3名，不仅学习了扎实的理论知识，其保健按摩手法得到专业课教师的认可。在课余时间，蒋小花同学还积极参与学校组织的各类活动，在扬帆管乐团担任圆号声部的一员。</w:t>
      </w:r>
    </w:p>
    <w:p w14:paraId="5F3469BD">
      <w:pP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br w:type="page"/>
      </w:r>
    </w:p>
    <w:p w14:paraId="15196E9C">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Times New Roman" w:hAnsi="Times New Roman" w:eastAsia="方正小标宋_GBK" w:cs="Times New Roman"/>
          <w:bCs/>
          <w:kern w:val="44"/>
          <w:sz w:val="32"/>
          <w:szCs w:val="32"/>
          <w:shd w:val="clear"/>
          <w:lang w:val="en-US" w:eastAsia="zh-CN" w:bidi="ar-SA"/>
        </w:rPr>
      </w:pPr>
      <w:bookmarkStart w:id="573" w:name="_Toc30789"/>
      <w:r>
        <w:rPr>
          <w:rStyle w:val="42"/>
          <w:rFonts w:hint="eastAsia"/>
          <w:sz w:val="32"/>
          <w:szCs w:val="32"/>
          <w:lang w:val="en-US" w:eastAsia="zh-CN"/>
        </w:rPr>
        <w:t>案例</w:t>
      </w:r>
      <w:bookmarkStart w:id="574" w:name="_Toc17200"/>
      <w:r>
        <w:rPr>
          <w:rStyle w:val="42"/>
          <w:rFonts w:hint="eastAsia"/>
          <w:sz w:val="32"/>
          <w:szCs w:val="32"/>
          <w:lang w:val="en-US" w:eastAsia="zh-CN"/>
        </w:rPr>
        <w:t>31：暗夜秉烛照前路：王汐中职生涯的璀璨</w:t>
      </w:r>
      <w:bookmarkEnd w:id="573"/>
      <w:r>
        <w:rPr>
          <w:rFonts w:hint="eastAsia" w:ascii="Times New Roman" w:hAnsi="Times New Roman" w:eastAsia="方正小标宋_GBK" w:cs="Times New Roman"/>
          <w:bCs/>
          <w:kern w:val="44"/>
          <w:sz w:val="32"/>
          <w:szCs w:val="32"/>
          <w:shd w:val="clear"/>
          <w:lang w:val="en-US" w:eastAsia="zh-CN" w:bidi="ar-SA"/>
        </w:rPr>
        <w:t>华章</w:t>
      </w:r>
      <w:bookmarkEnd w:id="574"/>
    </w:p>
    <w:p w14:paraId="270BC1D0">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Times New Roman" w:hAnsi="Times New Roman" w:eastAsia="方正小标宋_GBK" w:cs="Times New Roman"/>
          <w:bCs/>
          <w:kern w:val="44"/>
          <w:sz w:val="44"/>
          <w:szCs w:val="44"/>
          <w:shd w:val="clear"/>
          <w:lang w:val="en-US" w:eastAsia="zh-CN" w:bidi="ar-SA"/>
        </w:rPr>
      </w:pPr>
    </w:p>
    <w:p w14:paraId="47FD8263">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用知识立志，以技能自强。时代变迁赋予中职学生更多追求梦想的可能性，为视力障碍学生</w:t>
      </w:r>
      <w:r>
        <w:rPr>
          <w:rFonts w:hint="eastAsia" w:ascii="Times New Roman" w:hAnsi="Times New Roman" w:eastAsia="方正仿宋_GBK" w:cs="Times New Roman"/>
          <w:sz w:val="32"/>
          <w:szCs w:val="32"/>
          <w:lang w:val="en-US" w:eastAsia="zh-CN"/>
        </w:rPr>
        <w:t>就业升学</w:t>
      </w:r>
      <w:r>
        <w:rPr>
          <w:rFonts w:hint="default" w:ascii="Times New Roman" w:hAnsi="Times New Roman" w:eastAsia="方正仿宋_GBK" w:cs="Times New Roman"/>
          <w:sz w:val="32"/>
          <w:szCs w:val="32"/>
          <w:lang w:val="en-US" w:eastAsia="zh-CN"/>
        </w:rPr>
        <w:t>提供更多机会。为提高学生学习规划意识，助力学生追寻梦想，重庆市特殊教育中心职教部从多角度进行引导</w:t>
      </w:r>
      <w:r>
        <w:rPr>
          <w:rFonts w:hint="eastAsia" w:ascii="Times New Roman" w:hAnsi="Times New Roman" w:eastAsia="方正仿宋_GBK" w:cs="Times New Roman"/>
          <w:sz w:val="32"/>
          <w:szCs w:val="32"/>
          <w:lang w:val="en-US" w:eastAsia="zh-CN"/>
        </w:rPr>
        <w:t>，鼓励学生克服困难，努力追求梦想</w:t>
      </w:r>
      <w:r>
        <w:rPr>
          <w:rFonts w:hint="default" w:ascii="Times New Roman" w:hAnsi="Times New Roman" w:eastAsia="方正仿宋_GBK" w:cs="Times New Roman"/>
          <w:sz w:val="32"/>
          <w:szCs w:val="32"/>
          <w:lang w:val="en-US" w:eastAsia="zh-CN"/>
        </w:rPr>
        <w:t>。</w:t>
      </w:r>
    </w:p>
    <w:p w14:paraId="6F30AFAC">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对于王汐同学个人而言，目标是在中职阶段扎实掌握专业知识与技能，通过实习积累实践经验，提升自己的职业素养与人际交往能力，同时克服身体与视力障碍带来的不便，努力考上大专院校，为未来的职业发展开辟更广阔的道路</w:t>
      </w:r>
      <w:r>
        <w:rPr>
          <w:rFonts w:hint="eastAsia" w:ascii="Times New Roman" w:hAnsi="Times New Roman" w:eastAsia="方正仿宋_GBK" w:cs="Times New Roman"/>
          <w:sz w:val="32"/>
          <w:szCs w:val="32"/>
          <w:lang w:val="en-US" w:eastAsia="zh-CN"/>
        </w:rPr>
        <w:t>。</w:t>
      </w:r>
    </w:p>
    <w:p w14:paraId="5BD99498">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2023学年，王汐在学习上成绩优异，专业课程成绩始终位于班级前列。实习期间，</w:t>
      </w:r>
      <w:r>
        <w:rPr>
          <w:rFonts w:hint="default" w:ascii="Times New Roman" w:hAnsi="Times New Roman" w:eastAsia="方正仿宋_GBK" w:cs="Times New Roman"/>
          <w:sz w:val="32"/>
          <w:szCs w:val="32"/>
          <w:lang w:val="en-US" w:eastAsia="zh-CN"/>
        </w:rPr>
        <w:t>学校安排专门的指导教师与王汐保持密切联系，定期到实习单位进行现场指导与心理疏导。</w:t>
      </w:r>
      <w:r>
        <w:rPr>
          <w:rFonts w:hint="eastAsia" w:ascii="Times New Roman" w:hAnsi="Times New Roman" w:eastAsia="方正仿宋_GBK" w:cs="Times New Roman"/>
          <w:sz w:val="32"/>
          <w:szCs w:val="32"/>
          <w:lang w:val="en-US" w:eastAsia="zh-CN"/>
        </w:rPr>
        <w:t>她凭借认真负责的工作态度和出色的服务质量，获得实习单位老板的高度赞扬，为其他视障学生树立了良好的榜样。她最终也成功考入河南推拿职业学院，实现了自己的升学梦想，也为未来的职业发展迈出了坚实的一步。</w:t>
      </w:r>
    </w:p>
    <w:p w14:paraId="4F756B4A">
      <w:pPr>
        <w:rPr>
          <w:rFonts w:hint="eastAsia" w:ascii="Times New Roman" w:hAnsi="Times New Roman" w:eastAsia="方正小标宋_GBK" w:cs="Times New Roman"/>
          <w:bCs/>
          <w:kern w:val="44"/>
          <w:sz w:val="44"/>
          <w:szCs w:val="44"/>
          <w:shd w:val="clear"/>
          <w:lang w:val="en-US" w:eastAsia="zh-CN" w:bidi="ar-SA"/>
        </w:rPr>
      </w:pPr>
      <w:r>
        <w:rPr>
          <w:rFonts w:hint="eastAsia" w:ascii="Times New Roman" w:hAnsi="Times New Roman" w:eastAsia="方正小标宋_GBK" w:cs="Times New Roman"/>
          <w:bCs/>
          <w:kern w:val="44"/>
          <w:sz w:val="44"/>
          <w:szCs w:val="44"/>
          <w:shd w:val="clear"/>
          <w:lang w:val="en-US" w:eastAsia="zh-CN" w:bidi="ar-SA"/>
        </w:rPr>
        <w:br w:type="page"/>
      </w:r>
    </w:p>
    <w:p w14:paraId="2F146DDB">
      <w:pPr>
        <w:pStyle w:val="41"/>
        <w:bidi w:val="0"/>
        <w:rPr>
          <w:rFonts w:hint="eastAsia"/>
          <w:sz w:val="32"/>
          <w:szCs w:val="32"/>
          <w:lang w:val="en-US" w:eastAsia="zh-CN"/>
        </w:rPr>
      </w:pPr>
      <w:bookmarkStart w:id="575" w:name="_Toc31805"/>
      <w:r>
        <w:rPr>
          <w:rFonts w:hint="eastAsia"/>
          <w:sz w:val="32"/>
          <w:szCs w:val="32"/>
          <w:lang w:val="en-US" w:eastAsia="zh-CN"/>
        </w:rPr>
        <w:t>案例</w:t>
      </w:r>
      <w:bookmarkStart w:id="576" w:name="_Toc20809"/>
      <w:r>
        <w:rPr>
          <w:rFonts w:hint="eastAsia"/>
          <w:sz w:val="32"/>
          <w:szCs w:val="32"/>
          <w:lang w:val="en-US" w:eastAsia="zh-CN"/>
        </w:rPr>
        <w:t>32：以中医康复技术专业之翼，翱翔于广阔天地间</w:t>
      </w:r>
      <w:bookmarkEnd w:id="575"/>
      <w:bookmarkEnd w:id="576"/>
    </w:p>
    <w:p w14:paraId="27810917">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Times New Roman" w:hAnsi="Times New Roman" w:eastAsia="方正小标宋_GBK" w:cs="Times New Roman"/>
          <w:bCs/>
          <w:kern w:val="44"/>
          <w:sz w:val="44"/>
          <w:szCs w:val="44"/>
          <w:shd w:val="clear"/>
          <w:lang w:val="en-US" w:eastAsia="zh-CN" w:bidi="ar-SA"/>
        </w:rPr>
      </w:pPr>
    </w:p>
    <w:p w14:paraId="21D32702">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重庆市特殊教育中心</w:t>
      </w:r>
      <w:r>
        <w:rPr>
          <w:rFonts w:hint="eastAsia" w:ascii="Times New Roman" w:hAnsi="Times New Roman" w:eastAsia="方正仿宋_GBK" w:cs="Times New Roman"/>
          <w:sz w:val="32"/>
          <w:szCs w:val="32"/>
          <w:lang w:val="en-US" w:eastAsia="zh-CN"/>
        </w:rPr>
        <w:t>附设中职班开设的中医康复技术专业旨在提升视障学生的专业技能，使其能够在中医康复领域发挥自己的作用，让学生在实习就业过程中深刻理解“用知识立志，以技能自强”的含义。同时，通过视障学生的成功就业，践行学校校训——挺起胸膛朝前走，以心为眼看世界，鼓励更多视障学生勇敢追求职业梦想。</w:t>
      </w:r>
    </w:p>
    <w:p w14:paraId="6C694F37">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default" w:ascii="Times New Roman" w:hAnsi="Times New Roman" w:eastAsia="方正小标宋_GBK" w:cs="Times New Roman"/>
          <w:bCs/>
          <w:kern w:val="44"/>
          <w:sz w:val="44"/>
          <w:szCs w:val="44"/>
          <w:shd w:val="clear"/>
          <w:lang w:val="en-US" w:eastAsia="zh-CN" w:bidi="ar-SA"/>
        </w:rPr>
      </w:pPr>
      <w:r>
        <w:rPr>
          <w:rFonts w:hint="eastAsia" w:ascii="Times New Roman" w:hAnsi="Times New Roman" w:eastAsia="方正仿宋_GBK" w:cs="Times New Roman"/>
          <w:sz w:val="32"/>
          <w:szCs w:val="32"/>
          <w:lang w:val="en-US" w:eastAsia="zh-CN"/>
        </w:rPr>
        <w:t>为强化学生专业技术，学校附设中职班根据视障学生学习特点，对中医康复技术专业课程进行了有针对性的调整。例如购买大量的教学辅助用具，增加大量的实践操作课程，通过触摸、聆听等感官方式帮助学生更深入掌握中医康复技能。为让学生更好应对就业，树立良好的职业素养，学校附设中职班不仅为学生提供有就业指导服务，如面试技巧培训，模拟求职招聘大赛，还积极联系各地用人单位，特别是成渝经济圈内的盲人按摩机构，向用人单位宣传视障学生在中医康复技术方面的专业优势，为视障学生争取更多的就业机会。视障学生在中医康复技术专业毕业后，成功在多个地区就业，其中有4名学生在四川省就业，占已就业学生人数的50%，有力地支持了成渝经济圈的发展。</w:t>
      </w:r>
    </w:p>
    <w:p w14:paraId="4165FADB">
      <w:pPr>
        <w:rPr>
          <w:rFonts w:hint="eastAsia" w:ascii="Times New Roman" w:hAnsi="Times New Roman" w:eastAsia="方正小标宋_GBK" w:cs="Times New Roman"/>
          <w:bCs/>
          <w:kern w:val="44"/>
          <w:sz w:val="44"/>
          <w:szCs w:val="44"/>
          <w:shd w:val="clear"/>
          <w:lang w:val="en-US" w:eastAsia="zh-CN" w:bidi="ar-SA"/>
        </w:rPr>
      </w:pPr>
      <w:r>
        <w:rPr>
          <w:rFonts w:hint="eastAsia" w:ascii="Times New Roman" w:hAnsi="Times New Roman" w:eastAsia="方正小标宋_GBK" w:cs="Times New Roman"/>
          <w:bCs/>
          <w:kern w:val="44"/>
          <w:sz w:val="44"/>
          <w:szCs w:val="44"/>
          <w:shd w:val="clear"/>
          <w:lang w:val="en-US" w:eastAsia="zh-CN" w:bidi="ar-SA"/>
        </w:rPr>
        <w:br w:type="page"/>
      </w:r>
    </w:p>
    <w:p w14:paraId="0F60FCFE">
      <w:pPr>
        <w:pStyle w:val="41"/>
        <w:bidi w:val="0"/>
        <w:rPr>
          <w:rFonts w:hint="eastAsia"/>
          <w:sz w:val="32"/>
          <w:szCs w:val="32"/>
          <w:lang w:val="en-US" w:eastAsia="zh-CN"/>
        </w:rPr>
      </w:pPr>
      <w:bookmarkStart w:id="577" w:name="_Toc22304"/>
      <w:r>
        <w:rPr>
          <w:rFonts w:hint="eastAsia"/>
          <w:sz w:val="32"/>
          <w:szCs w:val="32"/>
          <w:lang w:val="en-US" w:eastAsia="zh-CN"/>
        </w:rPr>
        <w:t>案例</w:t>
      </w:r>
      <w:bookmarkStart w:id="578" w:name="_Toc13093"/>
      <w:r>
        <w:rPr>
          <w:rFonts w:hint="eastAsia"/>
          <w:sz w:val="32"/>
          <w:szCs w:val="32"/>
          <w:lang w:val="en-US" w:eastAsia="zh-CN"/>
        </w:rPr>
        <w:t>33：精技强能育工匠，多元活动促职涯</w:t>
      </w:r>
      <w:bookmarkEnd w:id="577"/>
      <w:bookmarkEnd w:id="578"/>
    </w:p>
    <w:p w14:paraId="2FDA4B3E">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Times New Roman" w:hAnsi="Times New Roman" w:eastAsia="方正小标宋_GBK" w:cs="Times New Roman"/>
          <w:bCs/>
          <w:kern w:val="44"/>
          <w:sz w:val="44"/>
          <w:szCs w:val="44"/>
          <w:shd w:val="clear"/>
          <w:lang w:val="en-US" w:eastAsia="zh-CN" w:bidi="ar-SA"/>
        </w:rPr>
      </w:pPr>
    </w:p>
    <w:p w14:paraId="2BA68F6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在职业教育日益强调实践与综合素质培养的大环境下，重庆市特殊教育中心职教部面临着如何提升学生职业技能与职业素养，使其更好地适应未来就业市场需求的挑战。传统的教学模式往往侧重于理论知识传授，学生对于行业实际需求以及工匠精神的理解较为匮乏，难以在毕业后迅速融入企业工作环境并展现出优秀的职业品质。</w:t>
      </w:r>
      <w:r>
        <w:rPr>
          <w:rFonts w:hint="eastAsia" w:ascii="Times New Roman" w:hAnsi="Times New Roman" w:eastAsia="方正仿宋_GBK" w:cs="Times New Roman"/>
          <w:sz w:val="32"/>
          <w:szCs w:val="32"/>
          <w:lang w:val="en-US" w:eastAsia="zh-CN"/>
        </w:rPr>
        <w:t>为</w:t>
      </w:r>
      <w:r>
        <w:rPr>
          <w:rFonts w:hint="default" w:ascii="Times New Roman" w:hAnsi="Times New Roman" w:eastAsia="方正仿宋_GBK" w:cs="Times New Roman"/>
          <w:sz w:val="32"/>
          <w:szCs w:val="32"/>
          <w:lang w:val="en-US" w:eastAsia="zh-CN"/>
        </w:rPr>
        <w:t>增强学生对工匠品质的直观认知与深入理解，激发学生追求卓越技能的热情与动力</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提升学生的专业实践技能，强化学生的求职就业能力</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通过竞赛等形式营造竞争氛围，促使学生不断提升</w:t>
      </w:r>
      <w:r>
        <w:rPr>
          <w:rFonts w:hint="eastAsia" w:ascii="Times New Roman" w:hAnsi="Times New Roman" w:eastAsia="方正仿宋_GBK" w:cs="Times New Roman"/>
          <w:sz w:val="32"/>
          <w:szCs w:val="32"/>
          <w:lang w:val="en-US" w:eastAsia="zh-CN"/>
        </w:rPr>
        <w:t>职业素养，</w:t>
      </w:r>
      <w:r>
        <w:rPr>
          <w:rFonts w:hint="default" w:ascii="Times New Roman" w:hAnsi="Times New Roman" w:eastAsia="方正仿宋_GBK" w:cs="Times New Roman"/>
          <w:sz w:val="32"/>
          <w:szCs w:val="32"/>
          <w:lang w:val="en-US" w:eastAsia="zh-CN"/>
        </w:rPr>
        <w:t>提高就业竞争力，为顺利步入职场奠定坚实基础。</w:t>
      </w:r>
    </w:p>
    <w:p w14:paraId="3B88754E">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2023学年，学校附设中职班举办“行业能手进校园”活动，邀请优秀校友到校分享创业经历。参与重庆市推拿按摩学会盲人推拿按摩专委会学术交流研讨会，安排教师带领学生参加会议。在会议中，学生不仅能够聆听专家学者关于推拿按摩领域最新研究成果、技术创新的报告，还能参与到同行之间的交流讨论中，拓宽视野，了解行业发展趋势。组织竞赛活动，如第四届人体体表标志触摸大赛、“扬帆筑梦‘职’面未来”第二届模拟求职招聘大赛等，帮助学生夯实专业基础，提升就业能力。</w:t>
      </w:r>
    </w:p>
    <w:p w14:paraId="274FA846">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通过一系列活动，学生职业素养得到提升，对工匠品质有了深刻的感悟和认同。据调查显示，超过80%的学生表示在参加活动后，对自己的职业目标有了更清晰的规划，并且愿意花费更多时间与精力去提升自己的专业技能，以达到行业高标准。学生的专业技能有所增强，学生在推拿按摩等专业实践操作中的精准度与熟练度也得到了企业实习指导教师的高度认可，在实习岗位上能够更快地适应工作要求。</w:t>
      </w:r>
    </w:p>
    <w:p w14:paraId="1BE4BB31">
      <w:pPr>
        <w:keepNext w:val="0"/>
        <w:keepLines w:val="0"/>
        <w:pageBreakBefore w:val="0"/>
        <w:widowControl w:val="0"/>
        <w:kinsoku/>
        <w:wordWrap/>
        <w:overflowPunct/>
        <w:topLinePunct w:val="0"/>
        <w:autoSpaceDE/>
        <w:autoSpaceDN/>
        <w:bidi w:val="0"/>
        <w:adjustRightInd w:val="0"/>
        <w:snapToGrid w:val="0"/>
        <w:spacing w:line="600" w:lineRule="exact"/>
        <w:ind w:firstLineChars="200"/>
        <w:jc w:val="left"/>
        <w:textAlignment w:val="auto"/>
        <w:rPr>
          <w:rFonts w:hint="eastAsia" w:ascii="Times New Roman" w:hAnsi="Times New Roman" w:eastAsia="方正仿宋_GBK" w:cs="Times New Roman"/>
          <w:sz w:val="32"/>
          <w:szCs w:val="32"/>
        </w:rPr>
      </w:pPr>
    </w:p>
    <w:p w14:paraId="597AB2CB">
      <w:pPr>
        <w:rPr>
          <w:rFonts w:hint="eastAsia" w:ascii="方正仿宋_GB2312" w:hAnsi="方正仿宋_GB2312" w:eastAsia="方正仿宋_GB2312" w:cs="方正仿宋_GB2312"/>
          <w:color w:val="000000"/>
          <w:kern w:val="0"/>
          <w:sz w:val="32"/>
          <w:szCs w:val="32"/>
          <w:highlight w:val="none"/>
          <w:lang w:val="en-US" w:eastAsia="zh-CN" w:bidi="ar"/>
        </w:rPr>
      </w:pPr>
      <w:r>
        <w:rPr>
          <w:rFonts w:hint="eastAsia" w:ascii="方正仿宋_GB2312" w:hAnsi="方正仿宋_GB2312" w:eastAsia="方正仿宋_GB2312" w:cs="方正仿宋_GB2312"/>
          <w:color w:val="000000"/>
          <w:kern w:val="0"/>
          <w:sz w:val="32"/>
          <w:szCs w:val="32"/>
          <w:highlight w:val="none"/>
          <w:lang w:val="en-US" w:eastAsia="zh-CN" w:bidi="ar"/>
        </w:rPr>
        <w:br w:type="page"/>
      </w:r>
    </w:p>
    <w:bookmarkEnd w:id="398"/>
    <w:bookmarkEnd w:id="399"/>
    <w:p w14:paraId="3E43D2F6">
      <w:pPr>
        <w:pStyle w:val="2"/>
        <w:keepNext w:val="0"/>
        <w:keepLines w:val="0"/>
        <w:numPr>
          <w:ilvl w:val="0"/>
          <w:numId w:val="0"/>
        </w:numPr>
        <w:spacing w:before="0" w:after="0" w:line="240" w:lineRule="auto"/>
        <w:rPr>
          <w:rFonts w:ascii="Times New Roman" w:hAnsi="Times New Roman" w:eastAsia="方正仿宋_GBK" w:cs="Times New Roman"/>
          <w:kern w:val="2"/>
          <w:sz w:val="32"/>
        </w:rPr>
      </w:pPr>
      <w:bookmarkStart w:id="579" w:name="_Toc8478"/>
      <w:bookmarkStart w:id="580" w:name="_Toc28551"/>
      <w:bookmarkStart w:id="581" w:name="_Toc20371"/>
      <w:bookmarkStart w:id="582" w:name="_Toc28918"/>
      <w:bookmarkStart w:id="583" w:name="_Toc29422"/>
      <w:bookmarkStart w:id="584" w:name="_Toc220"/>
      <w:bookmarkStart w:id="585" w:name="_Toc25087"/>
      <w:bookmarkStart w:id="586" w:name="_Toc29934"/>
      <w:r>
        <w:rPr>
          <w:rFonts w:hint="eastAsia" w:ascii="Times New Roman" w:hAnsi="Times New Roman" w:eastAsia="方正仿宋_GBK" w:cs="Times New Roman"/>
          <w:kern w:val="2"/>
          <w:sz w:val="32"/>
        </w:rPr>
        <w:t>附表：</w:t>
      </w:r>
      <w:bookmarkEnd w:id="579"/>
      <w:bookmarkEnd w:id="580"/>
      <w:bookmarkEnd w:id="581"/>
      <w:bookmarkEnd w:id="582"/>
      <w:bookmarkEnd w:id="583"/>
      <w:bookmarkEnd w:id="584"/>
      <w:bookmarkEnd w:id="585"/>
      <w:bookmarkEnd w:id="586"/>
    </w:p>
    <w:p w14:paraId="23BE6146">
      <w:pPr>
        <w:pStyle w:val="40"/>
        <w:bidi w:val="0"/>
        <w:outlineLvl w:val="9"/>
      </w:pPr>
      <w:bookmarkStart w:id="587" w:name="_Toc21491"/>
      <w:bookmarkStart w:id="588" w:name="_Toc9389"/>
      <w:bookmarkStart w:id="589" w:name="_Toc23385"/>
      <w:bookmarkStart w:id="590" w:name="_Toc10401"/>
      <w:bookmarkStart w:id="591" w:name="_Toc7996"/>
      <w:bookmarkStart w:id="592" w:name="_Toc18540"/>
      <w:bookmarkStart w:id="593" w:name="_Toc30742"/>
      <w:bookmarkStart w:id="594" w:name="_Toc13697"/>
      <w:r>
        <w:rPr>
          <w:rFonts w:hint="eastAsia"/>
        </w:rPr>
        <w:t xml:space="preserve">表1 </w:t>
      </w:r>
      <w:r>
        <w:t>人才培养质量计分卡</w:t>
      </w:r>
      <w:bookmarkEnd w:id="587"/>
      <w:bookmarkEnd w:id="588"/>
      <w:bookmarkEnd w:id="589"/>
      <w:bookmarkEnd w:id="590"/>
      <w:bookmarkEnd w:id="591"/>
      <w:bookmarkEnd w:id="592"/>
      <w:bookmarkEnd w:id="593"/>
      <w:bookmarkEnd w:id="594"/>
    </w:p>
    <w:tbl>
      <w:tblPr>
        <w:tblStyle w:val="31"/>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0"/>
        <w:gridCol w:w="4335"/>
        <w:gridCol w:w="972"/>
        <w:gridCol w:w="1486"/>
        <w:gridCol w:w="995"/>
      </w:tblGrid>
      <w:tr w14:paraId="76A8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shd w:val="clear" w:color="auto" w:fill="E7E6E6" w:themeFill="background2"/>
            <w:vAlign w:val="center"/>
          </w:tcPr>
          <w:p w14:paraId="028F6E8E">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序号</w:t>
            </w:r>
          </w:p>
        </w:tc>
        <w:tc>
          <w:tcPr>
            <w:tcW w:w="4335" w:type="dxa"/>
            <w:shd w:val="clear" w:color="auto" w:fill="E7E6E6" w:themeFill="background2"/>
            <w:vAlign w:val="center"/>
          </w:tcPr>
          <w:p w14:paraId="0F848C51">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指标</w:t>
            </w:r>
          </w:p>
        </w:tc>
        <w:tc>
          <w:tcPr>
            <w:tcW w:w="972" w:type="dxa"/>
            <w:shd w:val="clear" w:color="auto" w:fill="E7E6E6" w:themeFill="background2"/>
            <w:vAlign w:val="center"/>
          </w:tcPr>
          <w:p w14:paraId="3BF3CB0C">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单位</w:t>
            </w:r>
          </w:p>
        </w:tc>
        <w:tc>
          <w:tcPr>
            <w:tcW w:w="1486" w:type="dxa"/>
            <w:shd w:val="clear" w:color="auto" w:fill="E7E6E6" w:themeFill="background2"/>
            <w:vAlign w:val="center"/>
          </w:tcPr>
          <w:p w14:paraId="4C708EEF">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2024年</w:t>
            </w:r>
          </w:p>
        </w:tc>
        <w:tc>
          <w:tcPr>
            <w:tcW w:w="995" w:type="dxa"/>
            <w:shd w:val="clear" w:color="auto" w:fill="E7E6E6" w:themeFill="background2"/>
            <w:vAlign w:val="center"/>
          </w:tcPr>
          <w:p w14:paraId="1DCACDAF">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b/>
                <w:color w:val="auto"/>
                <w:kern w:val="0"/>
                <w:sz w:val="21"/>
                <w:szCs w:val="21"/>
              </w:rPr>
            </w:pPr>
          </w:p>
        </w:tc>
      </w:tr>
      <w:tr w14:paraId="5673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Align w:val="center"/>
          </w:tcPr>
          <w:p w14:paraId="4DF63334">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c>
          <w:tcPr>
            <w:tcW w:w="4335" w:type="dxa"/>
            <w:vAlign w:val="center"/>
          </w:tcPr>
          <w:p w14:paraId="0C1B1CD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毕业生人数*</w:t>
            </w:r>
          </w:p>
        </w:tc>
        <w:tc>
          <w:tcPr>
            <w:tcW w:w="972" w:type="dxa"/>
            <w:vAlign w:val="center"/>
          </w:tcPr>
          <w:p w14:paraId="5138D82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69D9FC6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2139</w:t>
            </w:r>
          </w:p>
        </w:tc>
        <w:tc>
          <w:tcPr>
            <w:tcW w:w="995" w:type="dxa"/>
            <w:vAlign w:val="center"/>
          </w:tcPr>
          <w:p w14:paraId="42EB227C">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3904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Merge w:val="restart"/>
            <w:vAlign w:val="center"/>
          </w:tcPr>
          <w:p w14:paraId="6E44CA61">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c>
          <w:tcPr>
            <w:tcW w:w="4335" w:type="dxa"/>
            <w:vAlign w:val="center"/>
          </w:tcPr>
          <w:p w14:paraId="035EB8DA">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毕业去向落实人数</w:t>
            </w:r>
          </w:p>
        </w:tc>
        <w:tc>
          <w:tcPr>
            <w:tcW w:w="972" w:type="dxa"/>
            <w:vAlign w:val="center"/>
          </w:tcPr>
          <w:p w14:paraId="1A3E465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3629891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2139</w:t>
            </w:r>
          </w:p>
        </w:tc>
        <w:tc>
          <w:tcPr>
            <w:tcW w:w="995" w:type="dxa"/>
            <w:vAlign w:val="center"/>
          </w:tcPr>
          <w:p w14:paraId="5E29DE9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111A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Merge w:val="continue"/>
            <w:vAlign w:val="center"/>
          </w:tcPr>
          <w:p w14:paraId="65C31306">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335" w:type="dxa"/>
            <w:vAlign w:val="center"/>
          </w:tcPr>
          <w:p w14:paraId="008F1D6F">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其中：毕业生升学人数</w:t>
            </w:r>
          </w:p>
        </w:tc>
        <w:tc>
          <w:tcPr>
            <w:tcW w:w="972" w:type="dxa"/>
            <w:vAlign w:val="center"/>
          </w:tcPr>
          <w:p w14:paraId="7F6AA98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42C529E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1992</w:t>
            </w:r>
          </w:p>
        </w:tc>
        <w:tc>
          <w:tcPr>
            <w:tcW w:w="995" w:type="dxa"/>
            <w:vAlign w:val="center"/>
          </w:tcPr>
          <w:p w14:paraId="51110433">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400B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Merge w:val="continue"/>
            <w:vAlign w:val="center"/>
          </w:tcPr>
          <w:p w14:paraId="0A29D92B">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335" w:type="dxa"/>
            <w:vAlign w:val="center"/>
          </w:tcPr>
          <w:p w14:paraId="354CA725">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升入本科人数</w:t>
            </w:r>
          </w:p>
        </w:tc>
        <w:tc>
          <w:tcPr>
            <w:tcW w:w="972" w:type="dxa"/>
            <w:vAlign w:val="center"/>
          </w:tcPr>
          <w:p w14:paraId="0D647B9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052C942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288</w:t>
            </w:r>
          </w:p>
        </w:tc>
        <w:tc>
          <w:tcPr>
            <w:tcW w:w="995" w:type="dxa"/>
            <w:vAlign w:val="center"/>
          </w:tcPr>
          <w:p w14:paraId="3AAC318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54A1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Align w:val="center"/>
          </w:tcPr>
          <w:p w14:paraId="3481C65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c>
          <w:tcPr>
            <w:tcW w:w="4335" w:type="dxa"/>
            <w:vAlign w:val="center"/>
          </w:tcPr>
          <w:p w14:paraId="7FE66051">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毕业生本省去向落实率</w:t>
            </w:r>
          </w:p>
        </w:tc>
        <w:tc>
          <w:tcPr>
            <w:tcW w:w="972" w:type="dxa"/>
            <w:vAlign w:val="center"/>
          </w:tcPr>
          <w:p w14:paraId="5621412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486" w:type="dxa"/>
            <w:vAlign w:val="center"/>
          </w:tcPr>
          <w:p w14:paraId="3567C95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96.5</w:t>
            </w:r>
          </w:p>
        </w:tc>
        <w:tc>
          <w:tcPr>
            <w:tcW w:w="995" w:type="dxa"/>
            <w:vAlign w:val="center"/>
          </w:tcPr>
          <w:p w14:paraId="153D83CD">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2A90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Align w:val="center"/>
          </w:tcPr>
          <w:p w14:paraId="378ACA5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4</w:t>
            </w:r>
          </w:p>
        </w:tc>
        <w:tc>
          <w:tcPr>
            <w:tcW w:w="4335" w:type="dxa"/>
            <w:vAlign w:val="center"/>
          </w:tcPr>
          <w:p w14:paraId="56389963">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月收入</w:t>
            </w:r>
          </w:p>
        </w:tc>
        <w:tc>
          <w:tcPr>
            <w:tcW w:w="972" w:type="dxa"/>
            <w:vAlign w:val="center"/>
          </w:tcPr>
          <w:p w14:paraId="1BF19E1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元</w:t>
            </w:r>
          </w:p>
        </w:tc>
        <w:tc>
          <w:tcPr>
            <w:tcW w:w="1486" w:type="dxa"/>
            <w:vAlign w:val="center"/>
          </w:tcPr>
          <w:p w14:paraId="46BDA17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2873</w:t>
            </w:r>
          </w:p>
        </w:tc>
        <w:tc>
          <w:tcPr>
            <w:tcW w:w="995" w:type="dxa"/>
            <w:vAlign w:val="center"/>
          </w:tcPr>
          <w:p w14:paraId="195072A0">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3499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Merge w:val="restart"/>
            <w:vAlign w:val="center"/>
          </w:tcPr>
          <w:p w14:paraId="4094D4BD">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5</w:t>
            </w:r>
          </w:p>
        </w:tc>
        <w:tc>
          <w:tcPr>
            <w:tcW w:w="4335" w:type="dxa"/>
            <w:vAlign w:val="center"/>
          </w:tcPr>
          <w:p w14:paraId="0142CE2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毕业生面向三次产业就业人数</w:t>
            </w:r>
          </w:p>
        </w:tc>
        <w:tc>
          <w:tcPr>
            <w:tcW w:w="972" w:type="dxa"/>
            <w:vAlign w:val="center"/>
          </w:tcPr>
          <w:p w14:paraId="689996F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23C6606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147</w:t>
            </w:r>
          </w:p>
        </w:tc>
        <w:tc>
          <w:tcPr>
            <w:tcW w:w="995" w:type="dxa"/>
            <w:vAlign w:val="center"/>
          </w:tcPr>
          <w:p w14:paraId="18CCC682">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39B2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Merge w:val="continue"/>
            <w:vAlign w:val="center"/>
          </w:tcPr>
          <w:p w14:paraId="5A13FEC6">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335" w:type="dxa"/>
            <w:vAlign w:val="center"/>
          </w:tcPr>
          <w:p w14:paraId="7D5DA9DB">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其中：面向第一产业</w:t>
            </w:r>
          </w:p>
        </w:tc>
        <w:tc>
          <w:tcPr>
            <w:tcW w:w="972" w:type="dxa"/>
            <w:vAlign w:val="center"/>
          </w:tcPr>
          <w:p w14:paraId="703D4A5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2CDA973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c>
          <w:tcPr>
            <w:tcW w:w="995" w:type="dxa"/>
            <w:vAlign w:val="center"/>
          </w:tcPr>
          <w:p w14:paraId="7F35C71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0658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Merge w:val="continue"/>
            <w:vAlign w:val="center"/>
          </w:tcPr>
          <w:p w14:paraId="350EE6D6">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335" w:type="dxa"/>
            <w:vAlign w:val="center"/>
          </w:tcPr>
          <w:p w14:paraId="0E5D6368">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面向第二产业</w:t>
            </w:r>
          </w:p>
        </w:tc>
        <w:tc>
          <w:tcPr>
            <w:tcW w:w="972" w:type="dxa"/>
            <w:vAlign w:val="center"/>
          </w:tcPr>
          <w:p w14:paraId="323BC80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7ED07F1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0</w:t>
            </w:r>
          </w:p>
        </w:tc>
        <w:tc>
          <w:tcPr>
            <w:tcW w:w="995" w:type="dxa"/>
            <w:vAlign w:val="center"/>
          </w:tcPr>
          <w:p w14:paraId="027448D2">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080B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Merge w:val="continue"/>
            <w:vAlign w:val="center"/>
          </w:tcPr>
          <w:p w14:paraId="594C19FD">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335" w:type="dxa"/>
            <w:vAlign w:val="center"/>
          </w:tcPr>
          <w:p w14:paraId="5892C65A">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面向第三产业</w:t>
            </w:r>
          </w:p>
        </w:tc>
        <w:tc>
          <w:tcPr>
            <w:tcW w:w="972" w:type="dxa"/>
            <w:vAlign w:val="center"/>
          </w:tcPr>
          <w:p w14:paraId="50C16D0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486" w:type="dxa"/>
            <w:vAlign w:val="center"/>
          </w:tcPr>
          <w:p w14:paraId="4595EC3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147</w:t>
            </w:r>
          </w:p>
        </w:tc>
        <w:tc>
          <w:tcPr>
            <w:tcW w:w="995" w:type="dxa"/>
            <w:vAlign w:val="center"/>
          </w:tcPr>
          <w:p w14:paraId="79F53BB7">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4F5F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Align w:val="center"/>
          </w:tcPr>
          <w:p w14:paraId="69F37E7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6</w:t>
            </w:r>
          </w:p>
        </w:tc>
        <w:tc>
          <w:tcPr>
            <w:tcW w:w="4335" w:type="dxa"/>
            <w:vAlign w:val="center"/>
          </w:tcPr>
          <w:p w14:paraId="64A3E0A0">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自主创业率</w:t>
            </w:r>
          </w:p>
        </w:tc>
        <w:tc>
          <w:tcPr>
            <w:tcW w:w="972" w:type="dxa"/>
            <w:vAlign w:val="center"/>
          </w:tcPr>
          <w:p w14:paraId="5C20382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486" w:type="dxa"/>
            <w:vAlign w:val="center"/>
          </w:tcPr>
          <w:p w14:paraId="4CDA2B2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0</w:t>
            </w:r>
          </w:p>
        </w:tc>
        <w:tc>
          <w:tcPr>
            <w:tcW w:w="995" w:type="dxa"/>
            <w:vAlign w:val="center"/>
          </w:tcPr>
          <w:p w14:paraId="399FC03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r w14:paraId="1414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dxa"/>
            <w:vAlign w:val="center"/>
          </w:tcPr>
          <w:p w14:paraId="4017695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7</w:t>
            </w:r>
          </w:p>
        </w:tc>
        <w:tc>
          <w:tcPr>
            <w:tcW w:w="4335" w:type="dxa"/>
            <w:vAlign w:val="center"/>
          </w:tcPr>
          <w:p w14:paraId="0C45FDDA">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毕业三年晋升比例</w:t>
            </w:r>
          </w:p>
        </w:tc>
        <w:tc>
          <w:tcPr>
            <w:tcW w:w="972" w:type="dxa"/>
            <w:vAlign w:val="center"/>
          </w:tcPr>
          <w:p w14:paraId="64934F4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486" w:type="dxa"/>
            <w:vAlign w:val="center"/>
          </w:tcPr>
          <w:p w14:paraId="5F7F9B6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8.05</w:t>
            </w:r>
          </w:p>
        </w:tc>
        <w:tc>
          <w:tcPr>
            <w:tcW w:w="995" w:type="dxa"/>
            <w:vAlign w:val="center"/>
          </w:tcPr>
          <w:p w14:paraId="307F0D3D">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r>
    </w:tbl>
    <w:p w14:paraId="6BFF6830">
      <w:pPr>
        <w:ind w:firstLine="560"/>
        <w:rPr>
          <w:color w:val="auto"/>
          <w:sz w:val="28"/>
          <w:szCs w:val="28"/>
        </w:rPr>
      </w:pPr>
    </w:p>
    <w:p w14:paraId="1E1B7CC6">
      <w:pPr>
        <w:pStyle w:val="40"/>
        <w:bidi w:val="0"/>
        <w:outlineLvl w:val="9"/>
      </w:pPr>
      <w:r>
        <w:br w:type="page"/>
      </w:r>
      <w:bookmarkStart w:id="595" w:name="_Toc30298"/>
      <w:bookmarkStart w:id="596" w:name="_Toc16310"/>
      <w:bookmarkStart w:id="597" w:name="_Toc3684"/>
      <w:bookmarkStart w:id="598" w:name="_Toc23548"/>
      <w:bookmarkStart w:id="599" w:name="_Toc16281"/>
      <w:r>
        <w:t>表2</w:t>
      </w:r>
      <w:r>
        <w:rPr>
          <w:rFonts w:hint="eastAsia"/>
          <w:lang w:val="en-US" w:eastAsia="zh-CN"/>
        </w:rPr>
        <w:t xml:space="preserve"> </w:t>
      </w:r>
      <w:r>
        <w:t>满意度调查表</w:t>
      </w:r>
      <w:bookmarkEnd w:id="595"/>
      <w:bookmarkEnd w:id="596"/>
      <w:bookmarkEnd w:id="597"/>
      <w:bookmarkEnd w:id="598"/>
      <w:bookmarkEnd w:id="599"/>
    </w:p>
    <w:p w14:paraId="755C76AE">
      <w:pPr>
        <w:rPr>
          <w:color w:val="auto"/>
          <w:sz w:val="28"/>
          <w:szCs w:val="28"/>
        </w:rPr>
      </w:pPr>
    </w:p>
    <w:tbl>
      <w:tblPr>
        <w:tblStyle w:val="31"/>
        <w:tblW w:w="85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2957"/>
        <w:gridCol w:w="707"/>
        <w:gridCol w:w="1226"/>
        <w:gridCol w:w="1358"/>
        <w:gridCol w:w="1575"/>
      </w:tblGrid>
      <w:tr w14:paraId="6F0A1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tcBorders>
              <w:top w:val="single" w:color="000000" w:sz="2" w:space="0"/>
              <w:left w:val="single" w:color="000000" w:sz="2" w:space="0"/>
              <w:bottom w:val="single" w:color="auto" w:sz="4" w:space="0"/>
              <w:right w:val="single" w:color="000000" w:sz="2" w:space="0"/>
            </w:tcBorders>
            <w:shd w:val="clear" w:color="auto" w:fill="E7E6E6" w:themeFill="background2"/>
            <w:vAlign w:val="center"/>
          </w:tcPr>
          <w:p w14:paraId="4DBDC74E">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bookmarkStart w:id="600" w:name="_Toc25984"/>
            <w:bookmarkStart w:id="601" w:name="_Toc30588"/>
            <w:bookmarkStart w:id="602" w:name="_Toc12203"/>
            <w:r>
              <w:rPr>
                <w:rFonts w:hint="eastAsia" w:asciiTheme="minorEastAsia" w:hAnsiTheme="minorEastAsia" w:eastAsiaTheme="minorEastAsia" w:cstheme="minorEastAsia"/>
                <w:b/>
                <w:bCs w:val="0"/>
                <w:color w:val="auto"/>
                <w:spacing w:val="0"/>
                <w:kern w:val="0"/>
                <w:sz w:val="21"/>
                <w:szCs w:val="21"/>
              </w:rPr>
              <w:t>序号</w:t>
            </w:r>
          </w:p>
        </w:tc>
        <w:tc>
          <w:tcPr>
            <w:tcW w:w="2957" w:type="dxa"/>
            <w:tcBorders>
              <w:top w:val="single" w:color="000000" w:sz="2" w:space="0"/>
              <w:left w:val="single" w:color="000000" w:sz="2" w:space="0"/>
              <w:bottom w:val="single" w:color="auto" w:sz="4" w:space="0"/>
              <w:right w:val="single" w:color="000000" w:sz="2" w:space="0"/>
            </w:tcBorders>
            <w:shd w:val="clear" w:color="auto" w:fill="E7E6E6" w:themeFill="background2"/>
            <w:vAlign w:val="center"/>
          </w:tcPr>
          <w:p w14:paraId="604C94F2">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指标</w:t>
            </w:r>
          </w:p>
        </w:tc>
        <w:tc>
          <w:tcPr>
            <w:tcW w:w="707" w:type="dxa"/>
            <w:tcBorders>
              <w:top w:val="single" w:color="000000" w:sz="2" w:space="0"/>
              <w:left w:val="single" w:color="000000" w:sz="2" w:space="0"/>
              <w:bottom w:val="single" w:color="000000" w:sz="2" w:space="0"/>
              <w:right w:val="single" w:color="000000" w:sz="2" w:space="0"/>
            </w:tcBorders>
            <w:shd w:val="clear" w:color="auto" w:fill="E7E6E6" w:themeFill="background2"/>
            <w:vAlign w:val="center"/>
          </w:tcPr>
          <w:p w14:paraId="0D71570A">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单位</w:t>
            </w:r>
          </w:p>
        </w:tc>
        <w:tc>
          <w:tcPr>
            <w:tcW w:w="1226" w:type="dxa"/>
            <w:tcBorders>
              <w:top w:val="single" w:color="000000" w:sz="2" w:space="0"/>
              <w:left w:val="single" w:color="000000" w:sz="2" w:space="0"/>
              <w:bottom w:val="single" w:color="000000" w:sz="2" w:space="0"/>
              <w:right w:val="single" w:color="000000" w:sz="2" w:space="0"/>
            </w:tcBorders>
            <w:shd w:val="clear" w:color="auto" w:fill="E7E6E6" w:themeFill="background2"/>
            <w:vAlign w:val="center"/>
          </w:tcPr>
          <w:p w14:paraId="53B98518">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2024年</w:t>
            </w:r>
          </w:p>
        </w:tc>
        <w:tc>
          <w:tcPr>
            <w:tcW w:w="1358" w:type="dxa"/>
            <w:tcBorders>
              <w:top w:val="single" w:color="000000" w:sz="2" w:space="0"/>
              <w:left w:val="single" w:color="000000" w:sz="2" w:space="0"/>
              <w:bottom w:val="single" w:color="000000" w:sz="2" w:space="0"/>
              <w:right w:val="single" w:color="000000" w:sz="2" w:space="0"/>
            </w:tcBorders>
            <w:shd w:val="clear" w:color="auto" w:fill="E7E6E6" w:themeFill="background2"/>
            <w:vAlign w:val="center"/>
          </w:tcPr>
          <w:p w14:paraId="64D260C4">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调查人次</w:t>
            </w:r>
          </w:p>
        </w:tc>
        <w:tc>
          <w:tcPr>
            <w:tcW w:w="1575" w:type="dxa"/>
            <w:tcBorders>
              <w:top w:val="single" w:color="000000" w:sz="2" w:space="0"/>
              <w:left w:val="single" w:color="000000" w:sz="2" w:space="0"/>
              <w:bottom w:val="single" w:color="000000" w:sz="2" w:space="0"/>
              <w:right w:val="single" w:color="000000" w:sz="2" w:space="0"/>
            </w:tcBorders>
            <w:shd w:val="clear" w:color="auto" w:fill="E7E6E6" w:themeFill="background2"/>
            <w:vAlign w:val="center"/>
          </w:tcPr>
          <w:p w14:paraId="58C59552">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调查方式</w:t>
            </w:r>
          </w:p>
        </w:tc>
      </w:tr>
      <w:tr w14:paraId="705FF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restart"/>
            <w:tcBorders>
              <w:top w:val="single" w:color="auto" w:sz="4" w:space="0"/>
              <w:left w:val="single" w:color="auto" w:sz="4" w:space="0"/>
              <w:bottom w:val="single" w:color="auto" w:sz="4" w:space="0"/>
              <w:right w:val="single" w:color="auto" w:sz="4" w:space="0"/>
            </w:tcBorders>
            <w:vAlign w:val="center"/>
          </w:tcPr>
          <w:p w14:paraId="4DDEA6F6">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c>
          <w:tcPr>
            <w:tcW w:w="2957" w:type="dxa"/>
            <w:tcBorders>
              <w:top w:val="single" w:color="auto" w:sz="4" w:space="0"/>
              <w:left w:val="single" w:color="auto" w:sz="4" w:space="0"/>
              <w:bottom w:val="single" w:color="auto" w:sz="4" w:space="0"/>
              <w:right w:val="single" w:color="auto" w:sz="4" w:space="0"/>
            </w:tcBorders>
            <w:vAlign w:val="center"/>
          </w:tcPr>
          <w:p w14:paraId="6FA9294F">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在校生满意度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4CE0969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54BAEB56">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p>
        </w:tc>
        <w:tc>
          <w:tcPr>
            <w:tcW w:w="1358" w:type="dxa"/>
            <w:tcBorders>
              <w:top w:val="single" w:color="000000" w:sz="2" w:space="0"/>
              <w:left w:val="single" w:color="000000" w:sz="2" w:space="0"/>
              <w:bottom w:val="single" w:color="000000" w:sz="2" w:space="0"/>
              <w:right w:val="single" w:color="000000" w:sz="2" w:space="0"/>
            </w:tcBorders>
            <w:vAlign w:val="center"/>
          </w:tcPr>
          <w:p w14:paraId="460BBFE3">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3052</w:t>
            </w:r>
          </w:p>
        </w:tc>
        <w:tc>
          <w:tcPr>
            <w:tcW w:w="1575" w:type="dxa"/>
            <w:tcBorders>
              <w:top w:val="single" w:color="000000" w:sz="2" w:space="0"/>
              <w:left w:val="single" w:color="000000" w:sz="2" w:space="0"/>
              <w:bottom w:val="single" w:color="000000" w:sz="2" w:space="0"/>
              <w:right w:val="single" w:color="000000" w:sz="2" w:space="0"/>
            </w:tcBorders>
            <w:vAlign w:val="center"/>
          </w:tcPr>
          <w:p w14:paraId="197F2749">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tr w14:paraId="1AF68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continue"/>
            <w:tcBorders>
              <w:top w:val="single" w:color="auto" w:sz="4" w:space="0"/>
              <w:left w:val="single" w:color="auto" w:sz="4" w:space="0"/>
              <w:bottom w:val="single" w:color="auto" w:sz="4" w:space="0"/>
              <w:right w:val="single" w:color="auto" w:sz="4" w:space="0"/>
            </w:tcBorders>
            <w:vAlign w:val="center"/>
          </w:tcPr>
          <w:p w14:paraId="107F1C0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2D113BEC">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其中：课堂育人满意度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50EAD33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43E99AF0">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p>
        </w:tc>
        <w:tc>
          <w:tcPr>
            <w:tcW w:w="1358" w:type="dxa"/>
            <w:tcBorders>
              <w:top w:val="single" w:color="000000" w:sz="2" w:space="0"/>
              <w:left w:val="single" w:color="000000" w:sz="2" w:space="0"/>
              <w:bottom w:val="single" w:color="000000" w:sz="2" w:space="0"/>
              <w:right w:val="single" w:color="000000" w:sz="2" w:space="0"/>
            </w:tcBorders>
            <w:vAlign w:val="center"/>
          </w:tcPr>
          <w:p w14:paraId="00178321">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3052</w:t>
            </w:r>
          </w:p>
        </w:tc>
        <w:tc>
          <w:tcPr>
            <w:tcW w:w="1575" w:type="dxa"/>
            <w:tcBorders>
              <w:top w:val="single" w:color="000000" w:sz="2" w:space="0"/>
              <w:left w:val="single" w:color="000000" w:sz="2" w:space="0"/>
              <w:bottom w:val="single" w:color="000000" w:sz="2" w:space="0"/>
              <w:right w:val="single" w:color="000000" w:sz="2" w:space="0"/>
            </w:tcBorders>
            <w:vAlign w:val="center"/>
          </w:tcPr>
          <w:p w14:paraId="600D1D58">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tr w14:paraId="561A9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40FD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341246E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课外育人满意度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650D3AF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724362B1">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p>
        </w:tc>
        <w:tc>
          <w:tcPr>
            <w:tcW w:w="1358" w:type="dxa"/>
            <w:tcBorders>
              <w:top w:val="single" w:color="000000" w:sz="2" w:space="0"/>
              <w:left w:val="single" w:color="000000" w:sz="2" w:space="0"/>
              <w:bottom w:val="single" w:color="000000" w:sz="2" w:space="0"/>
              <w:right w:val="single" w:color="000000" w:sz="2" w:space="0"/>
            </w:tcBorders>
            <w:vAlign w:val="center"/>
          </w:tcPr>
          <w:p w14:paraId="3FF194AE">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3052</w:t>
            </w:r>
          </w:p>
        </w:tc>
        <w:tc>
          <w:tcPr>
            <w:tcW w:w="1575" w:type="dxa"/>
            <w:tcBorders>
              <w:top w:val="single" w:color="000000" w:sz="2" w:space="0"/>
              <w:left w:val="single" w:color="000000" w:sz="2" w:space="0"/>
              <w:bottom w:val="single" w:color="000000" w:sz="2" w:space="0"/>
              <w:right w:val="single" w:color="000000" w:sz="2" w:space="0"/>
            </w:tcBorders>
            <w:vAlign w:val="center"/>
          </w:tcPr>
          <w:p w14:paraId="14F5FDC9">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tr w14:paraId="232A4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continue"/>
            <w:tcBorders>
              <w:top w:val="single" w:color="auto" w:sz="4" w:space="0"/>
              <w:left w:val="single" w:color="auto" w:sz="4" w:space="0"/>
              <w:bottom w:val="single" w:color="auto" w:sz="4" w:space="0"/>
              <w:right w:val="single" w:color="auto" w:sz="4" w:space="0"/>
            </w:tcBorders>
            <w:vAlign w:val="center"/>
          </w:tcPr>
          <w:p w14:paraId="50AF1B25">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0876CF27">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思想政治课教学满意度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51DA1F2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3F8EFDB5">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p>
        </w:tc>
        <w:tc>
          <w:tcPr>
            <w:tcW w:w="1358" w:type="dxa"/>
            <w:tcBorders>
              <w:top w:val="single" w:color="000000" w:sz="2" w:space="0"/>
              <w:left w:val="single" w:color="000000" w:sz="2" w:space="0"/>
              <w:bottom w:val="single" w:color="000000" w:sz="2" w:space="0"/>
              <w:right w:val="single" w:color="000000" w:sz="2" w:space="0"/>
            </w:tcBorders>
            <w:vAlign w:val="center"/>
          </w:tcPr>
          <w:p w14:paraId="42D2C8A1">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3052</w:t>
            </w:r>
          </w:p>
        </w:tc>
        <w:tc>
          <w:tcPr>
            <w:tcW w:w="1575" w:type="dxa"/>
            <w:tcBorders>
              <w:top w:val="single" w:color="000000" w:sz="2" w:space="0"/>
              <w:left w:val="single" w:color="000000" w:sz="2" w:space="0"/>
              <w:bottom w:val="single" w:color="000000" w:sz="2" w:space="0"/>
              <w:right w:val="single" w:color="000000" w:sz="2" w:space="0"/>
            </w:tcBorders>
            <w:vAlign w:val="center"/>
          </w:tcPr>
          <w:p w14:paraId="4E29F1F4">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tr w14:paraId="64FB6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continue"/>
            <w:tcBorders>
              <w:top w:val="single" w:color="auto" w:sz="4" w:space="0"/>
              <w:left w:val="single" w:color="auto" w:sz="4" w:space="0"/>
              <w:bottom w:val="single" w:color="auto" w:sz="4" w:space="0"/>
              <w:right w:val="single" w:color="auto" w:sz="4" w:space="0"/>
            </w:tcBorders>
            <w:vAlign w:val="center"/>
          </w:tcPr>
          <w:p w14:paraId="0C80D65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73C105E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公共基础课（不含思想政治课）教学满意度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5F81FF8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0563963E">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p>
        </w:tc>
        <w:tc>
          <w:tcPr>
            <w:tcW w:w="1358" w:type="dxa"/>
            <w:tcBorders>
              <w:top w:val="single" w:color="000000" w:sz="2" w:space="0"/>
              <w:left w:val="single" w:color="000000" w:sz="2" w:space="0"/>
              <w:bottom w:val="single" w:color="000000" w:sz="2" w:space="0"/>
              <w:right w:val="single" w:color="000000" w:sz="2" w:space="0"/>
            </w:tcBorders>
            <w:vAlign w:val="center"/>
          </w:tcPr>
          <w:p w14:paraId="1E48AC20">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3052</w:t>
            </w:r>
          </w:p>
        </w:tc>
        <w:tc>
          <w:tcPr>
            <w:tcW w:w="1575" w:type="dxa"/>
            <w:tcBorders>
              <w:top w:val="single" w:color="000000" w:sz="2" w:space="0"/>
              <w:left w:val="single" w:color="000000" w:sz="2" w:space="0"/>
              <w:bottom w:val="single" w:color="000000" w:sz="2" w:space="0"/>
              <w:right w:val="single" w:color="000000" w:sz="2" w:space="0"/>
            </w:tcBorders>
            <w:vAlign w:val="center"/>
          </w:tcPr>
          <w:p w14:paraId="34D238E2">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tr w14:paraId="4A1C0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continue"/>
            <w:tcBorders>
              <w:top w:val="single" w:color="auto" w:sz="4" w:space="0"/>
              <w:left w:val="single" w:color="auto" w:sz="4" w:space="0"/>
              <w:bottom w:val="single" w:color="auto" w:sz="4" w:space="0"/>
              <w:right w:val="single" w:color="auto" w:sz="4" w:space="0"/>
            </w:tcBorders>
            <w:vAlign w:val="center"/>
          </w:tcPr>
          <w:p w14:paraId="5E0B6EB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453FAB6F">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专业课教学满意度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55E2DC2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5770744A">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p>
        </w:tc>
        <w:tc>
          <w:tcPr>
            <w:tcW w:w="1358" w:type="dxa"/>
            <w:tcBorders>
              <w:top w:val="single" w:color="000000" w:sz="2" w:space="0"/>
              <w:left w:val="single" w:color="000000" w:sz="2" w:space="0"/>
              <w:bottom w:val="single" w:color="000000" w:sz="2" w:space="0"/>
              <w:right w:val="single" w:color="000000" w:sz="2" w:space="0"/>
            </w:tcBorders>
            <w:vAlign w:val="center"/>
          </w:tcPr>
          <w:p w14:paraId="28E725C4">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b/>
                <w:color w:val="auto"/>
                <w:kern w:val="0"/>
                <w:sz w:val="21"/>
                <w:szCs w:val="21"/>
              </w:rPr>
            </w:pPr>
            <w:r>
              <w:rPr>
                <w:rFonts w:asciiTheme="minorEastAsia" w:hAnsiTheme="minorEastAsia" w:cstheme="minorEastAsia"/>
                <w:color w:val="auto"/>
                <w:kern w:val="0"/>
                <w:sz w:val="21"/>
                <w:szCs w:val="21"/>
              </w:rPr>
              <w:t>3052</w:t>
            </w:r>
          </w:p>
        </w:tc>
        <w:tc>
          <w:tcPr>
            <w:tcW w:w="1575" w:type="dxa"/>
            <w:tcBorders>
              <w:top w:val="single" w:color="000000" w:sz="2" w:space="0"/>
              <w:left w:val="single" w:color="000000" w:sz="2" w:space="0"/>
              <w:bottom w:val="single" w:color="000000" w:sz="2" w:space="0"/>
              <w:right w:val="single" w:color="000000" w:sz="2" w:space="0"/>
            </w:tcBorders>
            <w:vAlign w:val="center"/>
          </w:tcPr>
          <w:p w14:paraId="2C67562F">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tr w14:paraId="2DFBF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restart"/>
            <w:tcBorders>
              <w:top w:val="single" w:color="auto" w:sz="4" w:space="0"/>
              <w:left w:val="single" w:color="auto" w:sz="4" w:space="0"/>
              <w:bottom w:val="single" w:color="auto" w:sz="4" w:space="0"/>
              <w:right w:val="single" w:color="auto" w:sz="4" w:space="0"/>
            </w:tcBorders>
            <w:vAlign w:val="center"/>
          </w:tcPr>
          <w:p w14:paraId="32A451F3">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c>
          <w:tcPr>
            <w:tcW w:w="2957" w:type="dxa"/>
            <w:tcBorders>
              <w:top w:val="single" w:color="auto" w:sz="4" w:space="0"/>
              <w:left w:val="single" w:color="auto" w:sz="4" w:space="0"/>
              <w:bottom w:val="single" w:color="auto" w:sz="4" w:space="0"/>
              <w:right w:val="single" w:color="auto" w:sz="4" w:space="0"/>
            </w:tcBorders>
            <w:vAlign w:val="center"/>
          </w:tcPr>
          <w:p w14:paraId="24ED459E">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毕业生满意度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13BFD2F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33FC8A2A">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97</w:t>
            </w:r>
          </w:p>
        </w:tc>
        <w:tc>
          <w:tcPr>
            <w:tcW w:w="1358" w:type="dxa"/>
            <w:tcBorders>
              <w:top w:val="single" w:color="000000" w:sz="2" w:space="0"/>
              <w:left w:val="single" w:color="000000" w:sz="2" w:space="0"/>
              <w:bottom w:val="single" w:color="000000" w:sz="2" w:space="0"/>
              <w:right w:val="single" w:color="000000" w:sz="2" w:space="0"/>
            </w:tcBorders>
            <w:vAlign w:val="center"/>
          </w:tcPr>
          <w:p w14:paraId="32EB4B09">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676</w:t>
            </w:r>
          </w:p>
        </w:tc>
        <w:tc>
          <w:tcPr>
            <w:tcW w:w="1575" w:type="dxa"/>
            <w:tcBorders>
              <w:top w:val="single" w:color="000000" w:sz="2" w:space="0"/>
              <w:left w:val="single" w:color="000000" w:sz="2" w:space="0"/>
              <w:bottom w:val="single" w:color="000000" w:sz="2" w:space="0"/>
              <w:right w:val="single" w:color="000000" w:sz="2" w:space="0"/>
            </w:tcBorders>
            <w:vAlign w:val="center"/>
          </w:tcPr>
          <w:p w14:paraId="47A2F89E">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在线问卷</w:t>
            </w:r>
          </w:p>
        </w:tc>
      </w:tr>
      <w:tr w14:paraId="27A17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continue"/>
            <w:tcBorders>
              <w:top w:val="single" w:color="auto" w:sz="4" w:space="0"/>
              <w:left w:val="single" w:color="auto" w:sz="4" w:space="0"/>
              <w:bottom w:val="single" w:color="auto" w:sz="4" w:space="0"/>
              <w:right w:val="single" w:color="auto" w:sz="4" w:space="0"/>
            </w:tcBorders>
            <w:vAlign w:val="center"/>
          </w:tcPr>
          <w:p w14:paraId="58E889B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336C8252">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其中：应届毕业生满意度</w:t>
            </w:r>
          </w:p>
        </w:tc>
        <w:tc>
          <w:tcPr>
            <w:tcW w:w="707" w:type="dxa"/>
            <w:tcBorders>
              <w:top w:val="single" w:color="000000" w:sz="2" w:space="0"/>
              <w:left w:val="single" w:color="auto" w:sz="4" w:space="0"/>
              <w:bottom w:val="single" w:color="000000" w:sz="2" w:space="0"/>
              <w:right w:val="single" w:color="000000" w:sz="2" w:space="0"/>
            </w:tcBorders>
            <w:vAlign w:val="center"/>
          </w:tcPr>
          <w:p w14:paraId="3286C89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27743758">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100</w:t>
            </w:r>
          </w:p>
        </w:tc>
        <w:tc>
          <w:tcPr>
            <w:tcW w:w="1358" w:type="dxa"/>
            <w:tcBorders>
              <w:top w:val="single" w:color="000000" w:sz="2" w:space="0"/>
              <w:left w:val="single" w:color="000000" w:sz="2" w:space="0"/>
              <w:bottom w:val="single" w:color="000000" w:sz="2" w:space="0"/>
              <w:right w:val="single" w:color="000000" w:sz="2" w:space="0"/>
            </w:tcBorders>
            <w:vAlign w:val="center"/>
          </w:tcPr>
          <w:p w14:paraId="29EDE9AE">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204</w:t>
            </w:r>
          </w:p>
        </w:tc>
        <w:tc>
          <w:tcPr>
            <w:tcW w:w="1575" w:type="dxa"/>
            <w:tcBorders>
              <w:top w:val="single" w:color="000000" w:sz="2" w:space="0"/>
              <w:left w:val="single" w:color="000000" w:sz="2" w:space="0"/>
              <w:bottom w:val="single" w:color="000000" w:sz="2" w:space="0"/>
              <w:right w:val="single" w:color="000000" w:sz="2" w:space="0"/>
            </w:tcBorders>
            <w:vAlign w:val="center"/>
          </w:tcPr>
          <w:p w14:paraId="04D5B61D">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在线问卷</w:t>
            </w:r>
          </w:p>
        </w:tc>
      </w:tr>
      <w:tr w14:paraId="76FD3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vMerge w:val="continue"/>
            <w:tcBorders>
              <w:top w:val="single" w:color="auto" w:sz="4" w:space="0"/>
              <w:left w:val="single" w:color="000000" w:sz="2" w:space="0"/>
              <w:bottom w:val="nil"/>
              <w:right w:val="single" w:color="000000" w:sz="2" w:space="0"/>
            </w:tcBorders>
            <w:vAlign w:val="center"/>
          </w:tcPr>
          <w:p w14:paraId="4F407E3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2957" w:type="dxa"/>
            <w:tcBorders>
              <w:top w:val="single" w:color="auto" w:sz="4" w:space="0"/>
              <w:left w:val="single" w:color="000000" w:sz="2" w:space="0"/>
              <w:bottom w:val="single" w:color="000000" w:sz="2" w:space="0"/>
              <w:right w:val="single" w:color="000000" w:sz="2" w:space="0"/>
            </w:tcBorders>
            <w:vAlign w:val="center"/>
          </w:tcPr>
          <w:p w14:paraId="428183FF">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毕业三年内毕业生满意度</w:t>
            </w:r>
          </w:p>
        </w:tc>
        <w:tc>
          <w:tcPr>
            <w:tcW w:w="707" w:type="dxa"/>
            <w:tcBorders>
              <w:top w:val="single" w:color="000000" w:sz="2" w:space="0"/>
              <w:left w:val="single" w:color="000000" w:sz="2" w:space="0"/>
              <w:bottom w:val="single" w:color="000000" w:sz="2" w:space="0"/>
              <w:right w:val="single" w:color="000000" w:sz="2" w:space="0"/>
            </w:tcBorders>
            <w:vAlign w:val="center"/>
          </w:tcPr>
          <w:p w14:paraId="2CA464F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4A57ACD0">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94</w:t>
            </w:r>
          </w:p>
        </w:tc>
        <w:tc>
          <w:tcPr>
            <w:tcW w:w="1358" w:type="dxa"/>
            <w:tcBorders>
              <w:top w:val="single" w:color="000000" w:sz="2" w:space="0"/>
              <w:left w:val="single" w:color="000000" w:sz="2" w:space="0"/>
              <w:bottom w:val="single" w:color="000000" w:sz="2" w:space="0"/>
              <w:right w:val="single" w:color="000000" w:sz="2" w:space="0"/>
            </w:tcBorders>
            <w:vAlign w:val="center"/>
          </w:tcPr>
          <w:p w14:paraId="5DA26308">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472</w:t>
            </w:r>
          </w:p>
        </w:tc>
        <w:tc>
          <w:tcPr>
            <w:tcW w:w="1575" w:type="dxa"/>
            <w:tcBorders>
              <w:top w:val="single" w:color="000000" w:sz="2" w:space="0"/>
              <w:left w:val="single" w:color="000000" w:sz="2" w:space="0"/>
              <w:bottom w:val="single" w:color="000000" w:sz="2" w:space="0"/>
              <w:right w:val="single" w:color="000000" w:sz="2" w:space="0"/>
            </w:tcBorders>
            <w:vAlign w:val="center"/>
          </w:tcPr>
          <w:p w14:paraId="7C0604D8">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在线问卷</w:t>
            </w:r>
          </w:p>
        </w:tc>
      </w:tr>
      <w:tr w14:paraId="34665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tcBorders>
              <w:top w:val="single" w:color="000000" w:sz="2" w:space="0"/>
              <w:left w:val="single" w:color="000000" w:sz="2" w:space="0"/>
              <w:bottom w:val="single" w:color="000000" w:sz="2" w:space="0"/>
              <w:right w:val="single" w:color="000000" w:sz="2" w:space="0"/>
            </w:tcBorders>
            <w:vAlign w:val="center"/>
          </w:tcPr>
          <w:p w14:paraId="38D142B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c>
          <w:tcPr>
            <w:tcW w:w="2957" w:type="dxa"/>
            <w:tcBorders>
              <w:top w:val="single" w:color="000000" w:sz="2" w:space="0"/>
              <w:left w:val="single" w:color="000000" w:sz="2" w:space="0"/>
              <w:bottom w:val="single" w:color="000000" w:sz="2" w:space="0"/>
              <w:right w:val="single" w:color="000000" w:sz="2" w:space="0"/>
            </w:tcBorders>
            <w:vAlign w:val="center"/>
          </w:tcPr>
          <w:p w14:paraId="3B53D7FE">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教职工满意度</w:t>
            </w:r>
          </w:p>
        </w:tc>
        <w:tc>
          <w:tcPr>
            <w:tcW w:w="707" w:type="dxa"/>
            <w:tcBorders>
              <w:top w:val="single" w:color="000000" w:sz="2" w:space="0"/>
              <w:left w:val="single" w:color="000000" w:sz="2" w:space="0"/>
              <w:bottom w:val="single" w:color="000000" w:sz="2" w:space="0"/>
              <w:right w:val="single" w:color="000000" w:sz="2" w:space="0"/>
            </w:tcBorders>
            <w:vAlign w:val="center"/>
          </w:tcPr>
          <w:p w14:paraId="74D6F20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116D2A97">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p>
        </w:tc>
        <w:tc>
          <w:tcPr>
            <w:tcW w:w="1358" w:type="dxa"/>
            <w:tcBorders>
              <w:top w:val="single" w:color="000000" w:sz="2" w:space="0"/>
              <w:left w:val="single" w:color="000000" w:sz="2" w:space="0"/>
              <w:bottom w:val="single" w:color="000000" w:sz="2" w:space="0"/>
              <w:right w:val="single" w:color="000000" w:sz="2" w:space="0"/>
            </w:tcBorders>
            <w:vAlign w:val="center"/>
          </w:tcPr>
          <w:p w14:paraId="6A37E67B">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213</w:t>
            </w:r>
          </w:p>
        </w:tc>
        <w:tc>
          <w:tcPr>
            <w:tcW w:w="1575" w:type="dxa"/>
            <w:tcBorders>
              <w:top w:val="single" w:color="000000" w:sz="2" w:space="0"/>
              <w:left w:val="single" w:color="000000" w:sz="2" w:space="0"/>
              <w:bottom w:val="single" w:color="000000" w:sz="2" w:space="0"/>
              <w:right w:val="single" w:color="000000" w:sz="2" w:space="0"/>
            </w:tcBorders>
            <w:vAlign w:val="center"/>
          </w:tcPr>
          <w:p w14:paraId="03F7F366">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tr w14:paraId="7396E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tcBorders>
              <w:top w:val="single" w:color="000000" w:sz="2" w:space="0"/>
              <w:left w:val="single" w:color="000000" w:sz="2" w:space="0"/>
              <w:bottom w:val="single" w:color="000000" w:sz="2" w:space="0"/>
              <w:right w:val="single" w:color="000000" w:sz="2" w:space="0"/>
            </w:tcBorders>
            <w:vAlign w:val="center"/>
          </w:tcPr>
          <w:p w14:paraId="730BA97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4</w:t>
            </w:r>
          </w:p>
        </w:tc>
        <w:tc>
          <w:tcPr>
            <w:tcW w:w="2957" w:type="dxa"/>
            <w:tcBorders>
              <w:top w:val="single" w:color="000000" w:sz="2" w:space="0"/>
              <w:left w:val="single" w:color="000000" w:sz="2" w:space="0"/>
              <w:bottom w:val="single" w:color="000000" w:sz="2" w:space="0"/>
              <w:right w:val="single" w:color="000000" w:sz="2" w:space="0"/>
            </w:tcBorders>
            <w:vAlign w:val="center"/>
          </w:tcPr>
          <w:p w14:paraId="42B3F05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用人单位满意度</w:t>
            </w:r>
          </w:p>
        </w:tc>
        <w:tc>
          <w:tcPr>
            <w:tcW w:w="707" w:type="dxa"/>
            <w:tcBorders>
              <w:top w:val="single" w:color="000000" w:sz="2" w:space="0"/>
              <w:left w:val="single" w:color="000000" w:sz="2" w:space="0"/>
              <w:bottom w:val="single" w:color="000000" w:sz="2" w:space="0"/>
              <w:right w:val="single" w:color="000000" w:sz="2" w:space="0"/>
            </w:tcBorders>
            <w:vAlign w:val="center"/>
          </w:tcPr>
          <w:p w14:paraId="725543E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21763FEC">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98</w:t>
            </w:r>
          </w:p>
        </w:tc>
        <w:tc>
          <w:tcPr>
            <w:tcW w:w="1358" w:type="dxa"/>
            <w:tcBorders>
              <w:top w:val="single" w:color="000000" w:sz="2" w:space="0"/>
              <w:left w:val="single" w:color="000000" w:sz="2" w:space="0"/>
              <w:bottom w:val="single" w:color="000000" w:sz="2" w:space="0"/>
              <w:right w:val="single" w:color="000000" w:sz="2" w:space="0"/>
            </w:tcBorders>
            <w:vAlign w:val="center"/>
          </w:tcPr>
          <w:p w14:paraId="1A289756">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82</w:t>
            </w:r>
          </w:p>
        </w:tc>
        <w:tc>
          <w:tcPr>
            <w:tcW w:w="1575" w:type="dxa"/>
            <w:tcBorders>
              <w:top w:val="single" w:color="000000" w:sz="2" w:space="0"/>
              <w:left w:val="single" w:color="000000" w:sz="2" w:space="0"/>
              <w:bottom w:val="single" w:color="000000" w:sz="2" w:space="0"/>
              <w:right w:val="single" w:color="000000" w:sz="2" w:space="0"/>
            </w:tcBorders>
            <w:vAlign w:val="center"/>
          </w:tcPr>
          <w:p w14:paraId="232D0BFC">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在线问卷</w:t>
            </w:r>
          </w:p>
        </w:tc>
      </w:tr>
      <w:tr w14:paraId="02CF0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trPr>
        <w:tc>
          <w:tcPr>
            <w:tcW w:w="701" w:type="dxa"/>
            <w:tcBorders>
              <w:top w:val="single" w:color="000000" w:sz="2" w:space="0"/>
              <w:left w:val="single" w:color="000000" w:sz="2" w:space="0"/>
              <w:bottom w:val="single" w:color="000000" w:sz="2" w:space="0"/>
              <w:right w:val="single" w:color="000000" w:sz="2" w:space="0"/>
            </w:tcBorders>
            <w:vAlign w:val="center"/>
          </w:tcPr>
          <w:p w14:paraId="5C808A0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5</w:t>
            </w:r>
          </w:p>
        </w:tc>
        <w:tc>
          <w:tcPr>
            <w:tcW w:w="2957" w:type="dxa"/>
            <w:tcBorders>
              <w:top w:val="single" w:color="000000" w:sz="2" w:space="0"/>
              <w:left w:val="single" w:color="000000" w:sz="2" w:space="0"/>
              <w:bottom w:val="single" w:color="000000" w:sz="2" w:space="0"/>
              <w:right w:val="single" w:color="000000" w:sz="2" w:space="0"/>
            </w:tcBorders>
            <w:vAlign w:val="center"/>
          </w:tcPr>
          <w:p w14:paraId="6EDC413D">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家长满意度</w:t>
            </w:r>
          </w:p>
        </w:tc>
        <w:tc>
          <w:tcPr>
            <w:tcW w:w="707" w:type="dxa"/>
            <w:tcBorders>
              <w:top w:val="single" w:color="000000" w:sz="2" w:space="0"/>
              <w:left w:val="single" w:color="000000" w:sz="2" w:space="0"/>
              <w:bottom w:val="single" w:color="000000" w:sz="2" w:space="0"/>
              <w:right w:val="single" w:color="000000" w:sz="2" w:space="0"/>
            </w:tcBorders>
            <w:vAlign w:val="center"/>
          </w:tcPr>
          <w:p w14:paraId="68A3345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226" w:type="dxa"/>
            <w:tcBorders>
              <w:top w:val="single" w:color="000000" w:sz="2" w:space="0"/>
              <w:left w:val="single" w:color="000000" w:sz="2" w:space="0"/>
              <w:bottom w:val="single" w:color="000000" w:sz="2" w:space="0"/>
              <w:right w:val="single" w:color="000000" w:sz="2" w:space="0"/>
            </w:tcBorders>
            <w:vAlign w:val="center"/>
          </w:tcPr>
          <w:p w14:paraId="11FABE4B">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90</w:t>
            </w:r>
          </w:p>
        </w:tc>
        <w:tc>
          <w:tcPr>
            <w:tcW w:w="1358" w:type="dxa"/>
            <w:tcBorders>
              <w:top w:val="single" w:color="000000" w:sz="2" w:space="0"/>
              <w:left w:val="single" w:color="000000" w:sz="2" w:space="0"/>
              <w:bottom w:val="single" w:color="000000" w:sz="2" w:space="0"/>
              <w:right w:val="single" w:color="000000" w:sz="2" w:space="0"/>
            </w:tcBorders>
            <w:vAlign w:val="center"/>
          </w:tcPr>
          <w:p w14:paraId="03C4DD24">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1590</w:t>
            </w:r>
          </w:p>
        </w:tc>
        <w:tc>
          <w:tcPr>
            <w:tcW w:w="1575" w:type="dxa"/>
            <w:tcBorders>
              <w:top w:val="single" w:color="000000" w:sz="2" w:space="0"/>
              <w:left w:val="single" w:color="000000" w:sz="2" w:space="0"/>
              <w:bottom w:val="single" w:color="000000" w:sz="2" w:space="0"/>
              <w:right w:val="single" w:color="000000" w:sz="2" w:space="0"/>
            </w:tcBorders>
            <w:vAlign w:val="center"/>
          </w:tcPr>
          <w:p w14:paraId="28E40D07">
            <w:pPr>
              <w:pStyle w:val="13"/>
              <w:keepNext w:val="0"/>
              <w:keepLines w:val="0"/>
              <w:pageBreakBefore w:val="0"/>
              <w:widowControl w:val="0"/>
              <w:kinsoku/>
              <w:wordWrap/>
              <w:overflowPunct/>
              <w:topLinePunct w:val="0"/>
              <w:autoSpaceDE/>
              <w:autoSpaceDN/>
              <w:bidi w:val="0"/>
              <w:adjustRightInd/>
              <w:snapToGrid/>
              <w:spacing w:after="0" w:line="400" w:lineRule="exact"/>
              <w:ind w:firstLine="364" w:firstLineChars="200"/>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网上调查</w:t>
            </w:r>
          </w:p>
        </w:tc>
      </w:tr>
      <w:bookmarkEnd w:id="600"/>
      <w:bookmarkEnd w:id="601"/>
      <w:bookmarkEnd w:id="602"/>
    </w:tbl>
    <w:p w14:paraId="2822A48B">
      <w:pPr>
        <w:rPr>
          <w:rFonts w:ascii="方正仿宋_GBK" w:hAnsi="Times New Roman" w:eastAsia="方正仿宋_GBK"/>
          <w:color w:val="auto"/>
          <w:sz w:val="32"/>
          <w:szCs w:val="32"/>
        </w:rPr>
      </w:pPr>
      <w:r>
        <w:rPr>
          <w:rFonts w:ascii="方正仿宋_GBK" w:hAnsi="Times New Roman" w:eastAsia="方正仿宋_GBK"/>
          <w:color w:val="auto"/>
          <w:sz w:val="32"/>
          <w:szCs w:val="32"/>
        </w:rPr>
        <w:br w:type="page"/>
      </w:r>
    </w:p>
    <w:p w14:paraId="4B21E930">
      <w:pPr>
        <w:pStyle w:val="40"/>
        <w:bidi w:val="0"/>
        <w:outlineLvl w:val="9"/>
      </w:pPr>
      <w:bookmarkStart w:id="603" w:name="_Toc18529"/>
      <w:bookmarkStart w:id="604" w:name="_Toc14527"/>
      <w:bookmarkStart w:id="605" w:name="_Toc17347"/>
      <w:bookmarkStart w:id="606" w:name="_Toc31729"/>
      <w:bookmarkStart w:id="607" w:name="_Toc30458"/>
      <w:bookmarkStart w:id="608" w:name="_Toc5286"/>
      <w:bookmarkStart w:id="609" w:name="_Toc7075"/>
      <w:bookmarkStart w:id="610" w:name="_Toc29221"/>
      <w:r>
        <w:t>表3</w:t>
      </w:r>
      <w:r>
        <w:rPr>
          <w:rFonts w:hint="eastAsia"/>
        </w:rPr>
        <w:t xml:space="preserve"> </w:t>
      </w:r>
      <w:r>
        <w:t>教学资源表</w:t>
      </w:r>
      <w:bookmarkEnd w:id="603"/>
      <w:bookmarkEnd w:id="604"/>
      <w:bookmarkEnd w:id="605"/>
      <w:bookmarkEnd w:id="606"/>
      <w:bookmarkEnd w:id="607"/>
      <w:bookmarkEnd w:id="608"/>
      <w:bookmarkEnd w:id="609"/>
      <w:bookmarkEnd w:id="610"/>
    </w:p>
    <w:tbl>
      <w:tblPr>
        <w:tblStyle w:val="31"/>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7"/>
        <w:gridCol w:w="2560"/>
        <w:gridCol w:w="1985"/>
        <w:gridCol w:w="335"/>
        <w:gridCol w:w="872"/>
        <w:gridCol w:w="2019"/>
      </w:tblGrid>
      <w:tr w14:paraId="7043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37" w:type="dxa"/>
            <w:shd w:val="clear" w:color="auto" w:fill="E7E6E6" w:themeFill="background2"/>
            <w:vAlign w:val="center"/>
          </w:tcPr>
          <w:p w14:paraId="7A440FB0">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序号</w:t>
            </w:r>
          </w:p>
        </w:tc>
        <w:tc>
          <w:tcPr>
            <w:tcW w:w="4880" w:type="dxa"/>
            <w:gridSpan w:val="3"/>
            <w:shd w:val="clear" w:color="auto" w:fill="E7E6E6" w:themeFill="background2"/>
            <w:vAlign w:val="center"/>
          </w:tcPr>
          <w:p w14:paraId="1E3561E8">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指标</w:t>
            </w:r>
          </w:p>
        </w:tc>
        <w:tc>
          <w:tcPr>
            <w:tcW w:w="872" w:type="dxa"/>
            <w:shd w:val="clear" w:color="auto" w:fill="E7E6E6" w:themeFill="background2"/>
            <w:vAlign w:val="center"/>
          </w:tcPr>
          <w:p w14:paraId="0BBA515E">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单位</w:t>
            </w:r>
          </w:p>
        </w:tc>
        <w:tc>
          <w:tcPr>
            <w:tcW w:w="2019" w:type="dxa"/>
            <w:shd w:val="clear" w:color="auto" w:fill="E7E6E6" w:themeFill="background2"/>
            <w:vAlign w:val="center"/>
          </w:tcPr>
          <w:p w14:paraId="3A375C4A">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2024年</w:t>
            </w:r>
          </w:p>
        </w:tc>
      </w:tr>
      <w:tr w14:paraId="12E5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469D2817">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c>
          <w:tcPr>
            <w:tcW w:w="4880" w:type="dxa"/>
            <w:gridSpan w:val="3"/>
            <w:vAlign w:val="center"/>
          </w:tcPr>
          <w:p w14:paraId="3B317D6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生师比*</w:t>
            </w:r>
          </w:p>
        </w:tc>
        <w:tc>
          <w:tcPr>
            <w:tcW w:w="872" w:type="dxa"/>
            <w:vAlign w:val="center"/>
          </w:tcPr>
          <w:p w14:paraId="64E915B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2019" w:type="dxa"/>
            <w:vAlign w:val="center"/>
          </w:tcPr>
          <w:p w14:paraId="0DFE0BF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16</w:t>
            </w:r>
          </w:p>
        </w:tc>
      </w:tr>
      <w:tr w14:paraId="7A1F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1108026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c>
          <w:tcPr>
            <w:tcW w:w="4880" w:type="dxa"/>
            <w:gridSpan w:val="3"/>
            <w:vAlign w:val="center"/>
          </w:tcPr>
          <w:p w14:paraId="7DCDFE4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“双师型”教师比例</w:t>
            </w:r>
          </w:p>
        </w:tc>
        <w:tc>
          <w:tcPr>
            <w:tcW w:w="872" w:type="dxa"/>
            <w:vAlign w:val="center"/>
          </w:tcPr>
          <w:p w14:paraId="3D51299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2019" w:type="dxa"/>
            <w:vAlign w:val="center"/>
          </w:tcPr>
          <w:p w14:paraId="1FE57EB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60.29</w:t>
            </w:r>
          </w:p>
        </w:tc>
      </w:tr>
      <w:tr w14:paraId="1FA1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restart"/>
            <w:vAlign w:val="center"/>
          </w:tcPr>
          <w:p w14:paraId="6DC47B1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c>
          <w:tcPr>
            <w:tcW w:w="4880" w:type="dxa"/>
            <w:gridSpan w:val="3"/>
            <w:vAlign w:val="center"/>
          </w:tcPr>
          <w:p w14:paraId="3F3E3F0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r>
              <w:rPr>
                <w:rFonts w:asciiTheme="minorEastAsia" w:hAnsiTheme="minorEastAsia" w:cstheme="minorEastAsia"/>
                <w:color w:val="auto"/>
                <w:kern w:val="0"/>
                <w:sz w:val="21"/>
                <w:szCs w:val="21"/>
              </w:rPr>
              <w:t>其中：高级“双师型”教师比例</w:t>
            </w:r>
          </w:p>
        </w:tc>
        <w:tc>
          <w:tcPr>
            <w:tcW w:w="872" w:type="dxa"/>
            <w:vAlign w:val="center"/>
          </w:tcPr>
          <w:p w14:paraId="7DA06B3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2019" w:type="dxa"/>
            <w:vAlign w:val="center"/>
          </w:tcPr>
          <w:p w14:paraId="53F56A2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13.7</w:t>
            </w:r>
          </w:p>
        </w:tc>
      </w:tr>
      <w:tr w14:paraId="305B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058EEC2D">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58FA41D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高级专业技术职务专任教师比例</w:t>
            </w:r>
          </w:p>
        </w:tc>
        <w:tc>
          <w:tcPr>
            <w:tcW w:w="872" w:type="dxa"/>
            <w:vAlign w:val="center"/>
          </w:tcPr>
          <w:p w14:paraId="4BD13E8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2019" w:type="dxa"/>
            <w:vAlign w:val="center"/>
          </w:tcPr>
          <w:p w14:paraId="4964770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24</w:t>
            </w:r>
          </w:p>
        </w:tc>
      </w:tr>
      <w:tr w14:paraId="440B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restart"/>
            <w:vAlign w:val="center"/>
          </w:tcPr>
          <w:p w14:paraId="36904A8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4</w:t>
            </w:r>
          </w:p>
        </w:tc>
        <w:tc>
          <w:tcPr>
            <w:tcW w:w="4880" w:type="dxa"/>
            <w:gridSpan w:val="3"/>
            <w:vAlign w:val="center"/>
          </w:tcPr>
          <w:p w14:paraId="4F1E304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专业群数量*</w:t>
            </w:r>
          </w:p>
        </w:tc>
        <w:tc>
          <w:tcPr>
            <w:tcW w:w="872" w:type="dxa"/>
            <w:vAlign w:val="center"/>
          </w:tcPr>
          <w:p w14:paraId="7164782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4EA5E71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r>
      <w:tr w14:paraId="4096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21801C9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1E445AF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专业数量*</w:t>
            </w:r>
          </w:p>
        </w:tc>
        <w:tc>
          <w:tcPr>
            <w:tcW w:w="872" w:type="dxa"/>
            <w:vAlign w:val="center"/>
          </w:tcPr>
          <w:p w14:paraId="4D92351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698720F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 xml:space="preserve"> </w:t>
            </w:r>
            <w:r>
              <w:rPr>
                <w:rFonts w:asciiTheme="minorEastAsia" w:hAnsiTheme="minorEastAsia" w:cstheme="minorEastAsia"/>
                <w:color w:val="auto"/>
                <w:kern w:val="0"/>
                <w:sz w:val="21"/>
                <w:szCs w:val="21"/>
              </w:rPr>
              <w:t>32</w:t>
            </w:r>
          </w:p>
        </w:tc>
      </w:tr>
      <w:tr w14:paraId="16E4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restart"/>
            <w:vAlign w:val="center"/>
          </w:tcPr>
          <w:p w14:paraId="1F26178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5</w:t>
            </w:r>
          </w:p>
        </w:tc>
        <w:tc>
          <w:tcPr>
            <w:tcW w:w="4880" w:type="dxa"/>
            <w:gridSpan w:val="3"/>
            <w:vMerge w:val="restart"/>
            <w:vAlign w:val="center"/>
          </w:tcPr>
          <w:p w14:paraId="6F88FE5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教学计划内课程总数*</w:t>
            </w:r>
          </w:p>
        </w:tc>
        <w:tc>
          <w:tcPr>
            <w:tcW w:w="872" w:type="dxa"/>
            <w:vAlign w:val="center"/>
          </w:tcPr>
          <w:p w14:paraId="2180ADB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03BD712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155</w:t>
            </w:r>
          </w:p>
        </w:tc>
      </w:tr>
      <w:tr w14:paraId="40EF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6AF4231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Merge w:val="continue"/>
            <w:vAlign w:val="center"/>
          </w:tcPr>
          <w:p w14:paraId="5FED409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872" w:type="dxa"/>
            <w:vAlign w:val="center"/>
          </w:tcPr>
          <w:p w14:paraId="0A39CA1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学时</w:t>
            </w:r>
          </w:p>
        </w:tc>
        <w:tc>
          <w:tcPr>
            <w:tcW w:w="2019" w:type="dxa"/>
            <w:vAlign w:val="center"/>
          </w:tcPr>
          <w:p w14:paraId="5D000CD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3558</w:t>
            </w:r>
          </w:p>
        </w:tc>
      </w:tr>
      <w:tr w14:paraId="73D6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B3CE13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Merge w:val="restart"/>
            <w:vAlign w:val="center"/>
          </w:tcPr>
          <w:p w14:paraId="534C9B7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其中：课证融通课程数*</w:t>
            </w:r>
          </w:p>
        </w:tc>
        <w:tc>
          <w:tcPr>
            <w:tcW w:w="872" w:type="dxa"/>
            <w:vAlign w:val="center"/>
          </w:tcPr>
          <w:p w14:paraId="146793D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3477D23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14</w:t>
            </w:r>
          </w:p>
        </w:tc>
      </w:tr>
      <w:tr w14:paraId="4BC4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328FE9C2">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Merge w:val="continue"/>
            <w:vAlign w:val="center"/>
          </w:tcPr>
          <w:p w14:paraId="16BDB7C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872" w:type="dxa"/>
            <w:vAlign w:val="center"/>
          </w:tcPr>
          <w:p w14:paraId="5829C73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学时</w:t>
            </w:r>
          </w:p>
        </w:tc>
        <w:tc>
          <w:tcPr>
            <w:tcW w:w="2019" w:type="dxa"/>
            <w:vAlign w:val="center"/>
          </w:tcPr>
          <w:p w14:paraId="56A0C05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1524</w:t>
            </w:r>
          </w:p>
        </w:tc>
      </w:tr>
      <w:tr w14:paraId="1FF4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37DBC1A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Merge w:val="restart"/>
            <w:vAlign w:val="center"/>
          </w:tcPr>
          <w:p w14:paraId="00CB28B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网络教学课程数</w:t>
            </w:r>
          </w:p>
        </w:tc>
        <w:tc>
          <w:tcPr>
            <w:tcW w:w="872" w:type="dxa"/>
            <w:vAlign w:val="center"/>
          </w:tcPr>
          <w:p w14:paraId="5FD21A6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74C6065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10</w:t>
            </w:r>
          </w:p>
        </w:tc>
      </w:tr>
      <w:tr w14:paraId="0F64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0EC094A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Merge w:val="continue"/>
            <w:vAlign w:val="center"/>
          </w:tcPr>
          <w:p w14:paraId="1B4217E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872" w:type="dxa"/>
            <w:vAlign w:val="center"/>
          </w:tcPr>
          <w:p w14:paraId="254BBDA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学时</w:t>
            </w:r>
          </w:p>
        </w:tc>
        <w:tc>
          <w:tcPr>
            <w:tcW w:w="2019" w:type="dxa"/>
            <w:vAlign w:val="center"/>
          </w:tcPr>
          <w:p w14:paraId="21F249A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975</w:t>
            </w:r>
          </w:p>
        </w:tc>
      </w:tr>
      <w:tr w14:paraId="62F6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1EF89D9">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Merge w:val="restart"/>
            <w:vAlign w:val="center"/>
          </w:tcPr>
          <w:p w14:paraId="48FAA85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校企</w:t>
            </w:r>
            <w:r>
              <w:rPr>
                <w:rFonts w:asciiTheme="minorEastAsia" w:hAnsiTheme="minorEastAsia" w:cstheme="minorEastAsia"/>
                <w:color w:val="auto"/>
                <w:kern w:val="0"/>
                <w:sz w:val="21"/>
                <w:szCs w:val="21"/>
              </w:rPr>
              <w:t>合作课程数</w:t>
            </w:r>
          </w:p>
        </w:tc>
        <w:tc>
          <w:tcPr>
            <w:tcW w:w="872" w:type="dxa"/>
            <w:vAlign w:val="center"/>
          </w:tcPr>
          <w:p w14:paraId="4A18B43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2F9BA21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r>
      <w:tr w14:paraId="009D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7B60E5D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Merge w:val="continue"/>
            <w:vAlign w:val="center"/>
          </w:tcPr>
          <w:p w14:paraId="64247DD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872" w:type="dxa"/>
            <w:vAlign w:val="center"/>
          </w:tcPr>
          <w:p w14:paraId="0830DEE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学时</w:t>
            </w:r>
          </w:p>
        </w:tc>
        <w:tc>
          <w:tcPr>
            <w:tcW w:w="2019" w:type="dxa"/>
            <w:vAlign w:val="center"/>
          </w:tcPr>
          <w:p w14:paraId="373F3B6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288</w:t>
            </w:r>
          </w:p>
        </w:tc>
      </w:tr>
      <w:tr w14:paraId="27D1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restart"/>
            <w:vAlign w:val="center"/>
          </w:tcPr>
          <w:p w14:paraId="721CEEB3">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6</w:t>
            </w:r>
          </w:p>
        </w:tc>
        <w:tc>
          <w:tcPr>
            <w:tcW w:w="4880" w:type="dxa"/>
            <w:gridSpan w:val="3"/>
            <w:vAlign w:val="center"/>
          </w:tcPr>
          <w:p w14:paraId="5D022BB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专业教学资源库数</w:t>
            </w:r>
          </w:p>
        </w:tc>
        <w:tc>
          <w:tcPr>
            <w:tcW w:w="872" w:type="dxa"/>
            <w:vAlign w:val="center"/>
          </w:tcPr>
          <w:p w14:paraId="6AF1DDC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6BD8CED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7</w:t>
            </w:r>
          </w:p>
        </w:tc>
      </w:tr>
      <w:tr w14:paraId="4144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29492B37">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3D3743F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其中：国家级数量*</w:t>
            </w:r>
          </w:p>
        </w:tc>
        <w:tc>
          <w:tcPr>
            <w:tcW w:w="872" w:type="dxa"/>
            <w:vAlign w:val="center"/>
          </w:tcPr>
          <w:p w14:paraId="6418CD7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384F8B3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7686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68E87AD9">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4893C3D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4B00BD2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0902E84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441A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0058C91">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7FA5518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省级数量</w:t>
            </w:r>
          </w:p>
        </w:tc>
        <w:tc>
          <w:tcPr>
            <w:tcW w:w="872" w:type="dxa"/>
            <w:vAlign w:val="center"/>
          </w:tcPr>
          <w:p w14:paraId="0AF3735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42DE61B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r>
      <w:tr w14:paraId="44D7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57E74181">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0F14CC5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51EBB8D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1202608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730B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05A8F3E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6999A1C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校级数量</w:t>
            </w:r>
          </w:p>
        </w:tc>
        <w:tc>
          <w:tcPr>
            <w:tcW w:w="872" w:type="dxa"/>
            <w:vAlign w:val="center"/>
          </w:tcPr>
          <w:p w14:paraId="30AC901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10FF1AC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6</w:t>
            </w:r>
          </w:p>
        </w:tc>
      </w:tr>
      <w:tr w14:paraId="1A68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5A71D0C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3B777FD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4DD7076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165BA9D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67EA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restart"/>
            <w:vAlign w:val="center"/>
          </w:tcPr>
          <w:p w14:paraId="6ED9E5A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7</w:t>
            </w:r>
          </w:p>
        </w:tc>
        <w:tc>
          <w:tcPr>
            <w:tcW w:w="4880" w:type="dxa"/>
            <w:gridSpan w:val="3"/>
            <w:vMerge w:val="restart"/>
            <w:vAlign w:val="center"/>
          </w:tcPr>
          <w:p w14:paraId="1144E88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在线精品课程数*</w:t>
            </w:r>
          </w:p>
        </w:tc>
        <w:tc>
          <w:tcPr>
            <w:tcW w:w="872" w:type="dxa"/>
            <w:vAlign w:val="center"/>
          </w:tcPr>
          <w:p w14:paraId="2A0EE1A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2B0F4F3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6</w:t>
            </w:r>
          </w:p>
        </w:tc>
      </w:tr>
      <w:tr w14:paraId="3A55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6AE74FE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Merge w:val="continue"/>
            <w:vAlign w:val="center"/>
          </w:tcPr>
          <w:p w14:paraId="325940B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872" w:type="dxa"/>
            <w:vAlign w:val="center"/>
          </w:tcPr>
          <w:p w14:paraId="07589E4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学时</w:t>
            </w:r>
          </w:p>
        </w:tc>
        <w:tc>
          <w:tcPr>
            <w:tcW w:w="2019" w:type="dxa"/>
            <w:vAlign w:val="center"/>
          </w:tcPr>
          <w:p w14:paraId="7B233BC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364</w:t>
            </w:r>
          </w:p>
        </w:tc>
      </w:tr>
      <w:tr w14:paraId="37B5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31716EC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Align w:val="center"/>
          </w:tcPr>
          <w:p w14:paraId="27EC695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在线精品课程课均学生数*</w:t>
            </w:r>
          </w:p>
        </w:tc>
        <w:tc>
          <w:tcPr>
            <w:tcW w:w="872" w:type="dxa"/>
            <w:vAlign w:val="center"/>
          </w:tcPr>
          <w:p w14:paraId="70025F7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2019" w:type="dxa"/>
            <w:vAlign w:val="center"/>
          </w:tcPr>
          <w:p w14:paraId="2B208D1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2314</w:t>
            </w:r>
          </w:p>
        </w:tc>
      </w:tr>
      <w:tr w14:paraId="1AC5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787E3C0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Align w:val="center"/>
          </w:tcPr>
          <w:p w14:paraId="26FADD7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其中：国家级数量*</w:t>
            </w:r>
          </w:p>
        </w:tc>
        <w:tc>
          <w:tcPr>
            <w:tcW w:w="872" w:type="dxa"/>
            <w:vAlign w:val="center"/>
          </w:tcPr>
          <w:p w14:paraId="46B6503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6E048C1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w:t>
            </w:r>
          </w:p>
        </w:tc>
      </w:tr>
      <w:tr w14:paraId="7988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4E483FE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Align w:val="center"/>
          </w:tcPr>
          <w:p w14:paraId="646206E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06D53F1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57D1E4E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w:t>
            </w:r>
          </w:p>
        </w:tc>
      </w:tr>
      <w:tr w14:paraId="6AA3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3F96CA5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Align w:val="center"/>
          </w:tcPr>
          <w:p w14:paraId="66701FE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省级数量</w:t>
            </w:r>
          </w:p>
        </w:tc>
        <w:tc>
          <w:tcPr>
            <w:tcW w:w="872" w:type="dxa"/>
            <w:vAlign w:val="center"/>
          </w:tcPr>
          <w:p w14:paraId="228DE54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7641D07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r>
      <w:tr w14:paraId="1721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71F4E2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Align w:val="center"/>
          </w:tcPr>
          <w:p w14:paraId="74A12D3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69111E9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2A79068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r>
      <w:tr w14:paraId="0F3C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488A273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Align w:val="center"/>
          </w:tcPr>
          <w:p w14:paraId="4A5384A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校级数量</w:t>
            </w:r>
          </w:p>
        </w:tc>
        <w:tc>
          <w:tcPr>
            <w:tcW w:w="872" w:type="dxa"/>
            <w:vAlign w:val="center"/>
          </w:tcPr>
          <w:p w14:paraId="1487982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6F5056B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r>
      <w:tr w14:paraId="2B03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tcBorders>
              <w:bottom w:val="single" w:color="000000" w:sz="4" w:space="0"/>
            </w:tcBorders>
            <w:vAlign w:val="center"/>
          </w:tcPr>
          <w:p w14:paraId="12B7C99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4880" w:type="dxa"/>
            <w:gridSpan w:val="3"/>
            <w:vAlign w:val="center"/>
          </w:tcPr>
          <w:p w14:paraId="662C192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05C0EB8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门</w:t>
            </w:r>
          </w:p>
        </w:tc>
        <w:tc>
          <w:tcPr>
            <w:tcW w:w="2019" w:type="dxa"/>
            <w:vAlign w:val="center"/>
          </w:tcPr>
          <w:p w14:paraId="7D129A9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6930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restart"/>
            <w:tcBorders>
              <w:top w:val="single" w:color="000000" w:sz="4" w:space="0"/>
            </w:tcBorders>
            <w:vAlign w:val="center"/>
          </w:tcPr>
          <w:p w14:paraId="2185B67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8</w:t>
            </w:r>
          </w:p>
        </w:tc>
        <w:tc>
          <w:tcPr>
            <w:tcW w:w="4880" w:type="dxa"/>
            <w:gridSpan w:val="3"/>
            <w:vAlign w:val="center"/>
          </w:tcPr>
          <w:p w14:paraId="6D34863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虚拟仿真实训基地数</w:t>
            </w:r>
          </w:p>
        </w:tc>
        <w:tc>
          <w:tcPr>
            <w:tcW w:w="872" w:type="dxa"/>
            <w:vAlign w:val="center"/>
          </w:tcPr>
          <w:p w14:paraId="7B5AE8A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4303F59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w:t>
            </w:r>
          </w:p>
        </w:tc>
      </w:tr>
      <w:tr w14:paraId="0A3F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0C5040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239486F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其中：国家级数量*</w:t>
            </w:r>
          </w:p>
        </w:tc>
        <w:tc>
          <w:tcPr>
            <w:tcW w:w="872" w:type="dxa"/>
            <w:vAlign w:val="center"/>
          </w:tcPr>
          <w:p w14:paraId="79A973B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09633E8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602F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5339191">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331B3D8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4D5F31E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5E0CCCB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525A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0A43BA5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2A6091D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省级数量</w:t>
            </w:r>
          </w:p>
        </w:tc>
        <w:tc>
          <w:tcPr>
            <w:tcW w:w="872" w:type="dxa"/>
            <w:vAlign w:val="center"/>
          </w:tcPr>
          <w:p w14:paraId="195D793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42B02B0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0</w:t>
            </w:r>
          </w:p>
        </w:tc>
      </w:tr>
      <w:tr w14:paraId="2176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7E9D60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0BEB91C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62004CE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24EC71C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5A66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67BCA7B3">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5321EA8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校级数量</w:t>
            </w:r>
          </w:p>
        </w:tc>
        <w:tc>
          <w:tcPr>
            <w:tcW w:w="872" w:type="dxa"/>
            <w:vAlign w:val="center"/>
          </w:tcPr>
          <w:p w14:paraId="31957EE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7A820B6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w:t>
            </w:r>
          </w:p>
        </w:tc>
      </w:tr>
      <w:tr w14:paraId="6B35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68395122">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6D7A184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7601C26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2019" w:type="dxa"/>
            <w:vAlign w:val="center"/>
          </w:tcPr>
          <w:p w14:paraId="1C58EAB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2E7B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restart"/>
            <w:vAlign w:val="center"/>
          </w:tcPr>
          <w:p w14:paraId="26C5685D">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9</w:t>
            </w:r>
          </w:p>
        </w:tc>
        <w:tc>
          <w:tcPr>
            <w:tcW w:w="4880" w:type="dxa"/>
            <w:gridSpan w:val="3"/>
            <w:vAlign w:val="center"/>
          </w:tcPr>
          <w:p w14:paraId="3989602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编写教材数</w:t>
            </w:r>
          </w:p>
        </w:tc>
        <w:tc>
          <w:tcPr>
            <w:tcW w:w="872" w:type="dxa"/>
            <w:vAlign w:val="center"/>
          </w:tcPr>
          <w:p w14:paraId="1C710D1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本</w:t>
            </w:r>
          </w:p>
        </w:tc>
        <w:tc>
          <w:tcPr>
            <w:tcW w:w="2019" w:type="dxa"/>
            <w:vAlign w:val="center"/>
          </w:tcPr>
          <w:p w14:paraId="4EED9D0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8</w:t>
            </w:r>
          </w:p>
        </w:tc>
      </w:tr>
      <w:tr w14:paraId="4BDB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09F22CE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41D4D43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其中：国家规划教材数量*</w:t>
            </w:r>
          </w:p>
        </w:tc>
        <w:tc>
          <w:tcPr>
            <w:tcW w:w="872" w:type="dxa"/>
            <w:vAlign w:val="center"/>
          </w:tcPr>
          <w:p w14:paraId="773758E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本</w:t>
            </w:r>
          </w:p>
        </w:tc>
        <w:tc>
          <w:tcPr>
            <w:tcW w:w="2019" w:type="dxa"/>
            <w:vAlign w:val="center"/>
          </w:tcPr>
          <w:p w14:paraId="08DB63C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w:t>
            </w:r>
          </w:p>
        </w:tc>
      </w:tr>
      <w:tr w14:paraId="0416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13FA7643">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43B9D6B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校企合作编写教材数量</w:t>
            </w:r>
          </w:p>
        </w:tc>
        <w:tc>
          <w:tcPr>
            <w:tcW w:w="872" w:type="dxa"/>
            <w:vAlign w:val="center"/>
          </w:tcPr>
          <w:p w14:paraId="4828A94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本</w:t>
            </w:r>
          </w:p>
        </w:tc>
        <w:tc>
          <w:tcPr>
            <w:tcW w:w="2019" w:type="dxa"/>
            <w:vAlign w:val="center"/>
          </w:tcPr>
          <w:p w14:paraId="67C6E62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7</w:t>
            </w:r>
          </w:p>
        </w:tc>
      </w:tr>
      <w:tr w14:paraId="0C9D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2E92B50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17BA4C5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新形态教材数量</w:t>
            </w:r>
          </w:p>
        </w:tc>
        <w:tc>
          <w:tcPr>
            <w:tcW w:w="872" w:type="dxa"/>
            <w:vAlign w:val="center"/>
          </w:tcPr>
          <w:p w14:paraId="58767AC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本</w:t>
            </w:r>
          </w:p>
        </w:tc>
        <w:tc>
          <w:tcPr>
            <w:tcW w:w="2019" w:type="dxa"/>
            <w:vAlign w:val="center"/>
          </w:tcPr>
          <w:p w14:paraId="6D81BBD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5</w:t>
            </w:r>
          </w:p>
        </w:tc>
      </w:tr>
      <w:tr w14:paraId="1D1D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Merge w:val="continue"/>
            <w:vAlign w:val="center"/>
          </w:tcPr>
          <w:p w14:paraId="45529EC2">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880" w:type="dxa"/>
            <w:gridSpan w:val="3"/>
            <w:vAlign w:val="center"/>
          </w:tcPr>
          <w:p w14:paraId="6484AF0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接入国家智慧教育平台数量*</w:t>
            </w:r>
          </w:p>
        </w:tc>
        <w:tc>
          <w:tcPr>
            <w:tcW w:w="872" w:type="dxa"/>
            <w:vAlign w:val="center"/>
          </w:tcPr>
          <w:p w14:paraId="766EFBC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本</w:t>
            </w:r>
          </w:p>
        </w:tc>
        <w:tc>
          <w:tcPr>
            <w:tcW w:w="2019" w:type="dxa"/>
            <w:vAlign w:val="center"/>
          </w:tcPr>
          <w:p w14:paraId="3FAF655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w:t>
            </w:r>
          </w:p>
        </w:tc>
      </w:tr>
      <w:tr w14:paraId="330B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145D7C6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10</w:t>
            </w:r>
          </w:p>
        </w:tc>
        <w:tc>
          <w:tcPr>
            <w:tcW w:w="4880" w:type="dxa"/>
            <w:gridSpan w:val="3"/>
            <w:vAlign w:val="center"/>
          </w:tcPr>
          <w:p w14:paraId="6DC191E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互联网出口带宽*</w:t>
            </w:r>
          </w:p>
        </w:tc>
        <w:tc>
          <w:tcPr>
            <w:tcW w:w="872" w:type="dxa"/>
            <w:vAlign w:val="center"/>
          </w:tcPr>
          <w:p w14:paraId="0F5DC7F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Mbps</w:t>
            </w:r>
          </w:p>
        </w:tc>
        <w:tc>
          <w:tcPr>
            <w:tcW w:w="2019" w:type="dxa"/>
            <w:vAlign w:val="center"/>
          </w:tcPr>
          <w:p w14:paraId="250C60B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500</w:t>
            </w:r>
          </w:p>
        </w:tc>
      </w:tr>
      <w:tr w14:paraId="7D04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2BC05396">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11</w:t>
            </w:r>
          </w:p>
        </w:tc>
        <w:tc>
          <w:tcPr>
            <w:tcW w:w="4880" w:type="dxa"/>
            <w:gridSpan w:val="3"/>
            <w:vAlign w:val="center"/>
          </w:tcPr>
          <w:p w14:paraId="06A972C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校园网主干最大带宽*</w:t>
            </w:r>
          </w:p>
        </w:tc>
        <w:tc>
          <w:tcPr>
            <w:tcW w:w="872" w:type="dxa"/>
            <w:vAlign w:val="center"/>
          </w:tcPr>
          <w:p w14:paraId="724581F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Mbps</w:t>
            </w:r>
          </w:p>
        </w:tc>
        <w:tc>
          <w:tcPr>
            <w:tcW w:w="2019" w:type="dxa"/>
            <w:vAlign w:val="center"/>
          </w:tcPr>
          <w:p w14:paraId="7056943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10000</w:t>
            </w:r>
          </w:p>
        </w:tc>
      </w:tr>
      <w:tr w14:paraId="093E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50FA1623">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12</w:t>
            </w:r>
          </w:p>
        </w:tc>
        <w:tc>
          <w:tcPr>
            <w:tcW w:w="4880" w:type="dxa"/>
            <w:gridSpan w:val="3"/>
            <w:vAlign w:val="center"/>
          </w:tcPr>
          <w:p w14:paraId="3ABBD7E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生均校内实践教学工位数*</w:t>
            </w:r>
          </w:p>
        </w:tc>
        <w:tc>
          <w:tcPr>
            <w:tcW w:w="872" w:type="dxa"/>
            <w:vAlign w:val="center"/>
          </w:tcPr>
          <w:p w14:paraId="2D3E014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个/生</w:t>
            </w:r>
          </w:p>
        </w:tc>
        <w:tc>
          <w:tcPr>
            <w:tcW w:w="2019" w:type="dxa"/>
            <w:vAlign w:val="center"/>
          </w:tcPr>
          <w:p w14:paraId="723ECF3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0.98</w:t>
            </w:r>
          </w:p>
        </w:tc>
      </w:tr>
      <w:tr w14:paraId="6E1C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5BB5087B">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13</w:t>
            </w:r>
          </w:p>
        </w:tc>
        <w:tc>
          <w:tcPr>
            <w:tcW w:w="4880" w:type="dxa"/>
            <w:gridSpan w:val="3"/>
            <w:vAlign w:val="center"/>
          </w:tcPr>
          <w:p w14:paraId="5439103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生均教学科研仪器设备值*</w:t>
            </w:r>
          </w:p>
        </w:tc>
        <w:tc>
          <w:tcPr>
            <w:tcW w:w="872" w:type="dxa"/>
            <w:vAlign w:val="center"/>
          </w:tcPr>
          <w:p w14:paraId="2A933BF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元/生</w:t>
            </w:r>
          </w:p>
        </w:tc>
        <w:tc>
          <w:tcPr>
            <w:tcW w:w="2019" w:type="dxa"/>
            <w:vAlign w:val="center"/>
          </w:tcPr>
          <w:p w14:paraId="5B0EAF7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17432</w:t>
            </w:r>
          </w:p>
        </w:tc>
      </w:tr>
      <w:tr w14:paraId="3B69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08" w:type="dxa"/>
            <w:gridSpan w:val="6"/>
            <w:vAlign w:val="center"/>
          </w:tcPr>
          <w:p w14:paraId="334D5F6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说明：请逐一列出学校专业群及核心专业，并选择对接产业链</w:t>
            </w:r>
          </w:p>
        </w:tc>
      </w:tr>
      <w:tr w14:paraId="5C8C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4FC8B91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c>
          <w:tcPr>
            <w:tcW w:w="2560" w:type="dxa"/>
            <w:vAlign w:val="center"/>
          </w:tcPr>
          <w:p w14:paraId="44CCA9A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专业群名称</w:t>
            </w:r>
          </w:p>
        </w:tc>
        <w:tc>
          <w:tcPr>
            <w:tcW w:w="1985" w:type="dxa"/>
            <w:vAlign w:val="center"/>
          </w:tcPr>
          <w:p w14:paraId="6A1C296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核心专业</w:t>
            </w:r>
          </w:p>
        </w:tc>
        <w:tc>
          <w:tcPr>
            <w:tcW w:w="3226" w:type="dxa"/>
            <w:gridSpan w:val="3"/>
            <w:vAlign w:val="center"/>
          </w:tcPr>
          <w:p w14:paraId="576A72F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选择对接产业链</w:t>
            </w:r>
          </w:p>
        </w:tc>
      </w:tr>
      <w:tr w14:paraId="0A03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14:paraId="37AF70E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c>
          <w:tcPr>
            <w:tcW w:w="2560" w:type="dxa"/>
            <w:tcMar>
              <w:top w:w="57" w:type="dxa"/>
              <w:left w:w="57" w:type="dxa"/>
              <w:bottom w:w="57" w:type="dxa"/>
              <w:right w:w="57" w:type="dxa"/>
            </w:tcMar>
            <w:vAlign w:val="center"/>
          </w:tcPr>
          <w:p w14:paraId="1609189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智能制造专业群</w:t>
            </w:r>
          </w:p>
        </w:tc>
        <w:tc>
          <w:tcPr>
            <w:tcW w:w="1985" w:type="dxa"/>
            <w:tcMar>
              <w:top w:w="57" w:type="dxa"/>
              <w:left w:w="57" w:type="dxa"/>
              <w:bottom w:w="57" w:type="dxa"/>
              <w:right w:w="57" w:type="dxa"/>
            </w:tcMar>
            <w:vAlign w:val="center"/>
          </w:tcPr>
          <w:p w14:paraId="0ECEF2B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数控技术应用、电子信息技术</w:t>
            </w:r>
          </w:p>
        </w:tc>
        <w:tc>
          <w:tcPr>
            <w:tcW w:w="3226" w:type="dxa"/>
            <w:gridSpan w:val="3"/>
            <w:tcMar>
              <w:top w:w="57" w:type="dxa"/>
              <w:left w:w="57" w:type="dxa"/>
              <w:bottom w:w="57" w:type="dxa"/>
              <w:right w:w="57" w:type="dxa"/>
            </w:tcMar>
            <w:vAlign w:val="center"/>
          </w:tcPr>
          <w:p w14:paraId="65B83C1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加工制造产业链及电子信息产业链</w:t>
            </w:r>
          </w:p>
        </w:tc>
      </w:tr>
      <w:tr w14:paraId="18B2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4" w:hRule="atLeast"/>
          <w:jc w:val="center"/>
        </w:trPr>
        <w:tc>
          <w:tcPr>
            <w:tcW w:w="737" w:type="dxa"/>
            <w:vAlign w:val="center"/>
          </w:tcPr>
          <w:p w14:paraId="5DFB3E3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c>
          <w:tcPr>
            <w:tcW w:w="2560" w:type="dxa"/>
            <w:tcMar>
              <w:top w:w="57" w:type="dxa"/>
              <w:left w:w="57" w:type="dxa"/>
              <w:bottom w:w="57" w:type="dxa"/>
              <w:right w:w="57" w:type="dxa"/>
            </w:tcMar>
            <w:vAlign w:val="center"/>
          </w:tcPr>
          <w:p w14:paraId="324CF3F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现代信息技术专业群</w:t>
            </w:r>
          </w:p>
        </w:tc>
        <w:tc>
          <w:tcPr>
            <w:tcW w:w="1985" w:type="dxa"/>
            <w:tcMar>
              <w:top w:w="57" w:type="dxa"/>
              <w:left w:w="57" w:type="dxa"/>
              <w:bottom w:w="57" w:type="dxa"/>
              <w:right w:w="57" w:type="dxa"/>
            </w:tcMar>
            <w:vAlign w:val="center"/>
          </w:tcPr>
          <w:p w14:paraId="0855758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计算机应用、数字媒体技术</w:t>
            </w:r>
          </w:p>
        </w:tc>
        <w:tc>
          <w:tcPr>
            <w:tcW w:w="3226" w:type="dxa"/>
            <w:gridSpan w:val="3"/>
            <w:tcMar>
              <w:top w:w="57" w:type="dxa"/>
              <w:left w:w="57" w:type="dxa"/>
              <w:bottom w:w="57" w:type="dxa"/>
              <w:right w:w="57" w:type="dxa"/>
            </w:tcMar>
            <w:vAlign w:val="center"/>
          </w:tcPr>
          <w:p w14:paraId="3DA4A76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现代信息技术专业群对接IT信息服务、媒体制作产业链，面向计算机软件与硬件操作、办公应用、网络应用、摄影摄像、数字影音剪辑、界面设计等岗位(群)</w:t>
            </w:r>
          </w:p>
        </w:tc>
      </w:tr>
    </w:tbl>
    <w:p w14:paraId="3FF6C83F">
      <w:pPr>
        <w:rPr>
          <w:rFonts w:ascii="Times New Roman" w:hAnsi="Times New Roman" w:eastAsia="方正仿宋_GBK"/>
          <w:b/>
          <w:bCs/>
          <w:color w:val="auto"/>
          <w:spacing w:val="3"/>
          <w:kern w:val="0"/>
          <w:sz w:val="32"/>
          <w:szCs w:val="32"/>
        </w:rPr>
      </w:pPr>
      <w:r>
        <w:rPr>
          <w:rFonts w:ascii="Times New Roman" w:hAnsi="Times New Roman" w:eastAsia="方正仿宋_GBK"/>
          <w:b/>
          <w:bCs/>
          <w:color w:val="auto"/>
          <w:spacing w:val="3"/>
          <w:kern w:val="0"/>
          <w:sz w:val="32"/>
          <w:szCs w:val="32"/>
        </w:rPr>
        <w:br w:type="page"/>
      </w:r>
    </w:p>
    <w:p w14:paraId="434AFAE1">
      <w:pPr>
        <w:pStyle w:val="40"/>
        <w:bidi w:val="0"/>
        <w:outlineLvl w:val="9"/>
      </w:pPr>
      <w:bookmarkStart w:id="611" w:name="_Toc28024"/>
      <w:bookmarkStart w:id="612" w:name="_Toc11848"/>
      <w:bookmarkStart w:id="613" w:name="_Toc9615"/>
      <w:bookmarkStart w:id="614" w:name="_Toc17503"/>
      <w:bookmarkStart w:id="615" w:name="_Toc24770"/>
      <w:bookmarkStart w:id="616" w:name="_Toc73"/>
      <w:bookmarkStart w:id="617" w:name="_Toc31085"/>
      <w:bookmarkStart w:id="618" w:name="_Toc19897"/>
      <w:r>
        <w:t>表4</w:t>
      </w:r>
      <w:r>
        <w:rPr>
          <w:rFonts w:hint="eastAsia"/>
        </w:rPr>
        <w:t xml:space="preserve"> </w:t>
      </w:r>
      <w:r>
        <w:t>服务贡献表</w:t>
      </w:r>
      <w:bookmarkEnd w:id="611"/>
      <w:bookmarkEnd w:id="612"/>
      <w:bookmarkEnd w:id="613"/>
      <w:bookmarkEnd w:id="614"/>
      <w:bookmarkEnd w:id="615"/>
      <w:bookmarkEnd w:id="616"/>
      <w:bookmarkEnd w:id="617"/>
      <w:bookmarkEnd w:id="618"/>
    </w:p>
    <w:tbl>
      <w:tblPr>
        <w:tblStyle w:val="31"/>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2"/>
        <w:gridCol w:w="4751"/>
        <w:gridCol w:w="892"/>
        <w:gridCol w:w="1963"/>
      </w:tblGrid>
      <w:tr w14:paraId="02E4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Align w:val="center"/>
          </w:tcPr>
          <w:p w14:paraId="37723E23">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序号</w:t>
            </w:r>
          </w:p>
        </w:tc>
        <w:tc>
          <w:tcPr>
            <w:tcW w:w="4751" w:type="dxa"/>
            <w:vAlign w:val="center"/>
          </w:tcPr>
          <w:p w14:paraId="3F3131B5">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指标</w:t>
            </w:r>
          </w:p>
        </w:tc>
        <w:tc>
          <w:tcPr>
            <w:tcW w:w="892" w:type="dxa"/>
            <w:vAlign w:val="center"/>
          </w:tcPr>
          <w:p w14:paraId="76D911A2">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单位</w:t>
            </w:r>
          </w:p>
        </w:tc>
        <w:tc>
          <w:tcPr>
            <w:tcW w:w="1963" w:type="dxa"/>
            <w:vAlign w:val="center"/>
          </w:tcPr>
          <w:p w14:paraId="3C6FAB7A">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2024年</w:t>
            </w:r>
          </w:p>
        </w:tc>
      </w:tr>
      <w:tr w14:paraId="11CC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restart"/>
            <w:vAlign w:val="center"/>
          </w:tcPr>
          <w:p w14:paraId="4559ADE4">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c>
          <w:tcPr>
            <w:tcW w:w="4751" w:type="dxa"/>
            <w:vAlign w:val="center"/>
          </w:tcPr>
          <w:p w14:paraId="72E1072D">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毕业生初次就业人数*</w:t>
            </w:r>
          </w:p>
        </w:tc>
        <w:tc>
          <w:tcPr>
            <w:tcW w:w="892" w:type="dxa"/>
            <w:vAlign w:val="center"/>
          </w:tcPr>
          <w:p w14:paraId="2823010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3" w:type="dxa"/>
          </w:tcPr>
          <w:p w14:paraId="201124F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147</w:t>
            </w:r>
          </w:p>
        </w:tc>
      </w:tr>
      <w:tr w14:paraId="3D82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118787B7">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6F9AD1BA">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其中：A类：留在当地就业*</w:t>
            </w:r>
          </w:p>
        </w:tc>
        <w:tc>
          <w:tcPr>
            <w:tcW w:w="892" w:type="dxa"/>
            <w:vAlign w:val="center"/>
          </w:tcPr>
          <w:p w14:paraId="087DBE7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3" w:type="dxa"/>
          </w:tcPr>
          <w:p w14:paraId="62F599D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134</w:t>
            </w:r>
          </w:p>
        </w:tc>
      </w:tr>
      <w:tr w14:paraId="70F1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4F84C0C3">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1105F8F7">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B类：到西部和东北地区就业*</w:t>
            </w:r>
          </w:p>
        </w:tc>
        <w:tc>
          <w:tcPr>
            <w:tcW w:w="892" w:type="dxa"/>
            <w:vAlign w:val="center"/>
          </w:tcPr>
          <w:p w14:paraId="63D78EA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3" w:type="dxa"/>
          </w:tcPr>
          <w:p w14:paraId="5958BAF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0</w:t>
            </w:r>
          </w:p>
        </w:tc>
      </w:tr>
      <w:tr w14:paraId="0446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7A10FC14">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53194DEA">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C类：到中小微企业等基层就业*</w:t>
            </w:r>
          </w:p>
        </w:tc>
        <w:tc>
          <w:tcPr>
            <w:tcW w:w="892" w:type="dxa"/>
            <w:vAlign w:val="center"/>
          </w:tcPr>
          <w:p w14:paraId="0DFCEE1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3" w:type="dxa"/>
          </w:tcPr>
          <w:p w14:paraId="15F03D5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121</w:t>
            </w:r>
          </w:p>
        </w:tc>
      </w:tr>
      <w:tr w14:paraId="3230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1E21EED2">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2D611CC5">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D类：到大型企业就业*</w:t>
            </w:r>
          </w:p>
        </w:tc>
        <w:tc>
          <w:tcPr>
            <w:tcW w:w="892" w:type="dxa"/>
            <w:vAlign w:val="center"/>
          </w:tcPr>
          <w:p w14:paraId="4A10BF2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3" w:type="dxa"/>
          </w:tcPr>
          <w:p w14:paraId="3FCED87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26</w:t>
            </w:r>
          </w:p>
        </w:tc>
      </w:tr>
      <w:tr w14:paraId="7389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restart"/>
            <w:vAlign w:val="center"/>
          </w:tcPr>
          <w:p w14:paraId="71CE9351">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c>
          <w:tcPr>
            <w:tcW w:w="4751" w:type="dxa"/>
            <w:vAlign w:val="center"/>
          </w:tcPr>
          <w:p w14:paraId="1AF3EDEE">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横向技术服务到款额</w:t>
            </w:r>
          </w:p>
        </w:tc>
        <w:tc>
          <w:tcPr>
            <w:tcW w:w="892" w:type="dxa"/>
            <w:vAlign w:val="center"/>
          </w:tcPr>
          <w:p w14:paraId="449A8F6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963" w:type="dxa"/>
          </w:tcPr>
          <w:p w14:paraId="55AED1A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5A3C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64B2BCE5">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19197C3D">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横向技术服务产生的经济效益</w:t>
            </w:r>
          </w:p>
        </w:tc>
        <w:tc>
          <w:tcPr>
            <w:tcW w:w="892" w:type="dxa"/>
            <w:vAlign w:val="center"/>
          </w:tcPr>
          <w:p w14:paraId="3E8C118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963" w:type="dxa"/>
          </w:tcPr>
          <w:p w14:paraId="1FA5E92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59B3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Align w:val="center"/>
          </w:tcPr>
          <w:p w14:paraId="4016AC4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c>
          <w:tcPr>
            <w:tcW w:w="4751" w:type="dxa"/>
            <w:vAlign w:val="center"/>
          </w:tcPr>
          <w:p w14:paraId="22F822DC">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纵向科研经费到款额*</w:t>
            </w:r>
          </w:p>
        </w:tc>
        <w:tc>
          <w:tcPr>
            <w:tcW w:w="892" w:type="dxa"/>
            <w:vAlign w:val="center"/>
          </w:tcPr>
          <w:p w14:paraId="5392FFE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963" w:type="dxa"/>
          </w:tcPr>
          <w:p w14:paraId="1C38D83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0</w:t>
            </w:r>
          </w:p>
        </w:tc>
      </w:tr>
      <w:tr w14:paraId="2906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Align w:val="center"/>
          </w:tcPr>
          <w:p w14:paraId="3F326EE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4</w:t>
            </w:r>
          </w:p>
        </w:tc>
        <w:tc>
          <w:tcPr>
            <w:tcW w:w="4751" w:type="dxa"/>
            <w:vAlign w:val="center"/>
          </w:tcPr>
          <w:p w14:paraId="7E15DC6C">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技术产权交易收入*</w:t>
            </w:r>
          </w:p>
        </w:tc>
        <w:tc>
          <w:tcPr>
            <w:tcW w:w="892" w:type="dxa"/>
            <w:vAlign w:val="center"/>
          </w:tcPr>
          <w:p w14:paraId="5845F20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963" w:type="dxa"/>
          </w:tcPr>
          <w:p w14:paraId="637E1CD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7EE8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restart"/>
            <w:vAlign w:val="center"/>
          </w:tcPr>
          <w:p w14:paraId="208A7CA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5</w:t>
            </w:r>
          </w:p>
        </w:tc>
        <w:tc>
          <w:tcPr>
            <w:tcW w:w="4751" w:type="dxa"/>
            <w:vAlign w:val="center"/>
          </w:tcPr>
          <w:p w14:paraId="6035DEE8">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知识产权项目数*</w:t>
            </w:r>
          </w:p>
        </w:tc>
        <w:tc>
          <w:tcPr>
            <w:tcW w:w="892" w:type="dxa"/>
            <w:vAlign w:val="center"/>
          </w:tcPr>
          <w:p w14:paraId="4F8D5BC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项</w:t>
            </w:r>
          </w:p>
        </w:tc>
        <w:tc>
          <w:tcPr>
            <w:tcW w:w="1963" w:type="dxa"/>
          </w:tcPr>
          <w:p w14:paraId="0FEEAB1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10</w:t>
            </w:r>
          </w:p>
        </w:tc>
      </w:tr>
      <w:tr w14:paraId="377E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4FCEEAE7">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46652F2E">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其中：专利授权数量*</w:t>
            </w:r>
          </w:p>
        </w:tc>
        <w:tc>
          <w:tcPr>
            <w:tcW w:w="892" w:type="dxa"/>
            <w:vAlign w:val="center"/>
          </w:tcPr>
          <w:p w14:paraId="19570D0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项</w:t>
            </w:r>
          </w:p>
        </w:tc>
        <w:tc>
          <w:tcPr>
            <w:tcW w:w="1963" w:type="dxa"/>
          </w:tcPr>
          <w:p w14:paraId="0B6EDDE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10</w:t>
            </w:r>
          </w:p>
        </w:tc>
      </w:tr>
      <w:tr w14:paraId="5537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648E1B1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49ED3F2C">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发明专利授权数量*</w:t>
            </w:r>
          </w:p>
        </w:tc>
        <w:tc>
          <w:tcPr>
            <w:tcW w:w="892" w:type="dxa"/>
            <w:vAlign w:val="center"/>
          </w:tcPr>
          <w:p w14:paraId="2F25220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项</w:t>
            </w:r>
          </w:p>
        </w:tc>
        <w:tc>
          <w:tcPr>
            <w:tcW w:w="1963" w:type="dxa"/>
          </w:tcPr>
          <w:p w14:paraId="51BB11C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0</w:t>
            </w:r>
          </w:p>
        </w:tc>
      </w:tr>
      <w:tr w14:paraId="0E3E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0C13AED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1ED33A02">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专利转让数量</w:t>
            </w:r>
          </w:p>
        </w:tc>
        <w:tc>
          <w:tcPr>
            <w:tcW w:w="892" w:type="dxa"/>
            <w:vAlign w:val="center"/>
          </w:tcPr>
          <w:p w14:paraId="4EC3DEC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项</w:t>
            </w:r>
          </w:p>
        </w:tc>
        <w:tc>
          <w:tcPr>
            <w:tcW w:w="1963" w:type="dxa"/>
          </w:tcPr>
          <w:p w14:paraId="4D352B6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7DA7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34E5BD39">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3283F41E">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专利成果转化到款额</w:t>
            </w:r>
          </w:p>
        </w:tc>
        <w:tc>
          <w:tcPr>
            <w:tcW w:w="892" w:type="dxa"/>
            <w:vAlign w:val="center"/>
          </w:tcPr>
          <w:p w14:paraId="24D31E0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963" w:type="dxa"/>
          </w:tcPr>
          <w:p w14:paraId="42922EC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0D3E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restart"/>
            <w:vAlign w:val="center"/>
          </w:tcPr>
          <w:p w14:paraId="7F60E13C">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6</w:t>
            </w:r>
          </w:p>
        </w:tc>
        <w:tc>
          <w:tcPr>
            <w:tcW w:w="4751" w:type="dxa"/>
            <w:vAlign w:val="center"/>
          </w:tcPr>
          <w:p w14:paraId="14852790">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非学历培训项目数*</w:t>
            </w:r>
          </w:p>
        </w:tc>
        <w:tc>
          <w:tcPr>
            <w:tcW w:w="892" w:type="dxa"/>
            <w:vAlign w:val="center"/>
          </w:tcPr>
          <w:p w14:paraId="011163F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项</w:t>
            </w:r>
          </w:p>
        </w:tc>
        <w:tc>
          <w:tcPr>
            <w:tcW w:w="1963" w:type="dxa"/>
          </w:tcPr>
          <w:p w14:paraId="07FD6EE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59</w:t>
            </w:r>
          </w:p>
        </w:tc>
      </w:tr>
      <w:tr w14:paraId="7261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04C3B31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7A334CBF">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非学历培训学时*</w:t>
            </w:r>
          </w:p>
        </w:tc>
        <w:tc>
          <w:tcPr>
            <w:tcW w:w="892" w:type="dxa"/>
            <w:vAlign w:val="center"/>
          </w:tcPr>
          <w:p w14:paraId="00194A7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3" w:type="dxa"/>
          </w:tcPr>
          <w:p w14:paraId="3F4B42D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94241</w:t>
            </w:r>
          </w:p>
        </w:tc>
      </w:tr>
      <w:tr w14:paraId="387F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Merge w:val="continue"/>
            <w:vAlign w:val="center"/>
          </w:tcPr>
          <w:p w14:paraId="7B8AD634">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51" w:type="dxa"/>
            <w:vAlign w:val="center"/>
          </w:tcPr>
          <w:p w14:paraId="632FE621">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公益项目培训学时*</w:t>
            </w:r>
          </w:p>
        </w:tc>
        <w:tc>
          <w:tcPr>
            <w:tcW w:w="892" w:type="dxa"/>
            <w:vAlign w:val="center"/>
          </w:tcPr>
          <w:p w14:paraId="3D4B61E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3" w:type="dxa"/>
          </w:tcPr>
          <w:p w14:paraId="7AC5503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18653</w:t>
            </w:r>
          </w:p>
        </w:tc>
      </w:tr>
      <w:tr w14:paraId="4B86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32" w:type="dxa"/>
            <w:vAlign w:val="center"/>
          </w:tcPr>
          <w:p w14:paraId="70EB94B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7</w:t>
            </w:r>
          </w:p>
        </w:tc>
        <w:tc>
          <w:tcPr>
            <w:tcW w:w="4751" w:type="dxa"/>
            <w:vAlign w:val="center"/>
          </w:tcPr>
          <w:p w14:paraId="26317560">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非学历培训到账经费</w:t>
            </w:r>
          </w:p>
        </w:tc>
        <w:tc>
          <w:tcPr>
            <w:tcW w:w="892" w:type="dxa"/>
            <w:vAlign w:val="center"/>
          </w:tcPr>
          <w:p w14:paraId="571F1B3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963" w:type="dxa"/>
          </w:tcPr>
          <w:p w14:paraId="358CCCC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53.62</w:t>
            </w:r>
          </w:p>
        </w:tc>
      </w:tr>
    </w:tbl>
    <w:p w14:paraId="0A8E28B7">
      <w:pPr>
        <w:rPr>
          <w:rFonts w:ascii="Times New Roman" w:hAnsi="Times New Roman" w:eastAsia="方正仿宋_GBK"/>
          <w:b/>
          <w:bCs/>
          <w:color w:val="auto"/>
          <w:spacing w:val="3"/>
          <w:kern w:val="0"/>
          <w:sz w:val="32"/>
          <w:szCs w:val="32"/>
        </w:rPr>
      </w:pPr>
      <w:r>
        <w:rPr>
          <w:rFonts w:ascii="Times New Roman" w:hAnsi="Times New Roman" w:eastAsia="方正仿宋_GBK"/>
          <w:b/>
          <w:bCs/>
          <w:color w:val="auto"/>
          <w:spacing w:val="3"/>
          <w:kern w:val="0"/>
          <w:sz w:val="32"/>
          <w:szCs w:val="32"/>
        </w:rPr>
        <w:br w:type="page"/>
      </w:r>
    </w:p>
    <w:p w14:paraId="7DF85CAF">
      <w:pPr>
        <w:pStyle w:val="40"/>
        <w:bidi w:val="0"/>
        <w:outlineLvl w:val="9"/>
      </w:pPr>
      <w:bookmarkStart w:id="619" w:name="_Toc15060"/>
      <w:bookmarkStart w:id="620" w:name="_Toc8632"/>
      <w:bookmarkStart w:id="621" w:name="_Toc18764"/>
      <w:bookmarkStart w:id="622" w:name="_Toc24577"/>
      <w:bookmarkStart w:id="623" w:name="_Toc2269"/>
      <w:bookmarkStart w:id="624" w:name="_Toc20532"/>
      <w:bookmarkStart w:id="625" w:name="_Toc13292"/>
      <w:bookmarkStart w:id="626" w:name="_Toc1999"/>
      <w:r>
        <w:t>表5</w:t>
      </w:r>
      <w:r>
        <w:rPr>
          <w:rFonts w:hint="eastAsia"/>
        </w:rPr>
        <w:t xml:space="preserve"> </w:t>
      </w:r>
      <w:r>
        <w:t>国际影响表</w:t>
      </w:r>
      <w:bookmarkEnd w:id="619"/>
      <w:bookmarkEnd w:id="620"/>
      <w:bookmarkEnd w:id="621"/>
      <w:bookmarkEnd w:id="622"/>
      <w:bookmarkEnd w:id="623"/>
      <w:bookmarkEnd w:id="624"/>
      <w:bookmarkEnd w:id="625"/>
      <w:bookmarkEnd w:id="626"/>
    </w:p>
    <w:tbl>
      <w:tblPr>
        <w:tblStyle w:val="31"/>
        <w:tblW w:w="83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2"/>
        <w:gridCol w:w="4762"/>
        <w:gridCol w:w="875"/>
        <w:gridCol w:w="1969"/>
      </w:tblGrid>
      <w:tr w14:paraId="21CA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Align w:val="center"/>
          </w:tcPr>
          <w:p w14:paraId="00F207FC">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序号</w:t>
            </w:r>
          </w:p>
        </w:tc>
        <w:tc>
          <w:tcPr>
            <w:tcW w:w="4762" w:type="dxa"/>
            <w:vAlign w:val="center"/>
          </w:tcPr>
          <w:p w14:paraId="6C3CD789">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指标</w:t>
            </w:r>
          </w:p>
        </w:tc>
        <w:tc>
          <w:tcPr>
            <w:tcW w:w="875" w:type="dxa"/>
            <w:vAlign w:val="center"/>
          </w:tcPr>
          <w:p w14:paraId="1941CA00">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单位</w:t>
            </w:r>
          </w:p>
        </w:tc>
        <w:tc>
          <w:tcPr>
            <w:tcW w:w="1969" w:type="dxa"/>
            <w:vAlign w:val="center"/>
          </w:tcPr>
          <w:p w14:paraId="4EA6810B">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2024年</w:t>
            </w:r>
          </w:p>
        </w:tc>
      </w:tr>
      <w:tr w14:paraId="52BF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restart"/>
            <w:vAlign w:val="center"/>
          </w:tcPr>
          <w:p w14:paraId="1328491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c>
          <w:tcPr>
            <w:tcW w:w="4762" w:type="dxa"/>
            <w:vAlign w:val="center"/>
          </w:tcPr>
          <w:p w14:paraId="0817288C">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开发并被国外采用的职业教育标准、资源、装备数量</w:t>
            </w:r>
          </w:p>
        </w:tc>
        <w:tc>
          <w:tcPr>
            <w:tcW w:w="875" w:type="dxa"/>
            <w:vAlign w:val="center"/>
          </w:tcPr>
          <w:p w14:paraId="1E2595E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31BBF95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594C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continue"/>
            <w:vAlign w:val="center"/>
          </w:tcPr>
          <w:p w14:paraId="440FAB0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62" w:type="dxa"/>
            <w:vAlign w:val="center"/>
          </w:tcPr>
          <w:p w14:paraId="5620B2D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其中：标准数量</w:t>
            </w:r>
          </w:p>
        </w:tc>
        <w:tc>
          <w:tcPr>
            <w:tcW w:w="875" w:type="dxa"/>
            <w:vAlign w:val="center"/>
          </w:tcPr>
          <w:p w14:paraId="6221366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45BC1ED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4F72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continue"/>
            <w:vAlign w:val="center"/>
          </w:tcPr>
          <w:p w14:paraId="18E0F5E7">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62" w:type="dxa"/>
            <w:vAlign w:val="center"/>
          </w:tcPr>
          <w:p w14:paraId="331BF3A3">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专业标准数量</w:t>
            </w:r>
          </w:p>
        </w:tc>
        <w:tc>
          <w:tcPr>
            <w:tcW w:w="875" w:type="dxa"/>
            <w:vAlign w:val="center"/>
          </w:tcPr>
          <w:p w14:paraId="249DF3F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4127DFC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72E4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continue"/>
            <w:vAlign w:val="center"/>
          </w:tcPr>
          <w:p w14:paraId="2BBDBD59">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62" w:type="dxa"/>
            <w:vAlign w:val="center"/>
          </w:tcPr>
          <w:p w14:paraId="1F5F1695">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课程标准数量</w:t>
            </w:r>
          </w:p>
        </w:tc>
        <w:tc>
          <w:tcPr>
            <w:tcW w:w="875" w:type="dxa"/>
            <w:vAlign w:val="center"/>
          </w:tcPr>
          <w:p w14:paraId="53255E2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2B8A04F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1547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continue"/>
            <w:vAlign w:val="center"/>
          </w:tcPr>
          <w:p w14:paraId="4050D97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62" w:type="dxa"/>
            <w:vAlign w:val="center"/>
          </w:tcPr>
          <w:p w14:paraId="76D311E0">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资源数量</w:t>
            </w:r>
          </w:p>
        </w:tc>
        <w:tc>
          <w:tcPr>
            <w:tcW w:w="875" w:type="dxa"/>
            <w:vAlign w:val="center"/>
          </w:tcPr>
          <w:p w14:paraId="4254736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03ABF7B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7664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continue"/>
            <w:vAlign w:val="center"/>
          </w:tcPr>
          <w:p w14:paraId="39D645AD">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62" w:type="dxa"/>
            <w:vAlign w:val="center"/>
          </w:tcPr>
          <w:p w14:paraId="70F400A6">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装备数量</w:t>
            </w:r>
          </w:p>
        </w:tc>
        <w:tc>
          <w:tcPr>
            <w:tcW w:w="875" w:type="dxa"/>
            <w:vAlign w:val="center"/>
          </w:tcPr>
          <w:p w14:paraId="2B98C18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46B195B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7296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Align w:val="center"/>
          </w:tcPr>
          <w:p w14:paraId="0B2A346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w:t>
            </w:r>
          </w:p>
        </w:tc>
        <w:tc>
          <w:tcPr>
            <w:tcW w:w="4762" w:type="dxa"/>
            <w:vAlign w:val="center"/>
          </w:tcPr>
          <w:p w14:paraId="52BE6AD7">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接收国外留学生专业数</w:t>
            </w:r>
          </w:p>
        </w:tc>
        <w:tc>
          <w:tcPr>
            <w:tcW w:w="875" w:type="dxa"/>
            <w:vAlign w:val="center"/>
          </w:tcPr>
          <w:p w14:paraId="398ED99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0342DBD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02F7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Align w:val="center"/>
          </w:tcPr>
          <w:p w14:paraId="7A403E3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c>
          <w:tcPr>
            <w:tcW w:w="4762" w:type="dxa"/>
            <w:vAlign w:val="center"/>
          </w:tcPr>
          <w:p w14:paraId="4025763A">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接收国外留学生人数</w:t>
            </w:r>
          </w:p>
        </w:tc>
        <w:tc>
          <w:tcPr>
            <w:tcW w:w="875" w:type="dxa"/>
            <w:vAlign w:val="center"/>
          </w:tcPr>
          <w:p w14:paraId="4ED7D71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9" w:type="dxa"/>
            <w:vAlign w:val="center"/>
          </w:tcPr>
          <w:p w14:paraId="3B7FC61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1297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Align w:val="center"/>
          </w:tcPr>
          <w:p w14:paraId="23C0BA27">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4</w:t>
            </w:r>
          </w:p>
        </w:tc>
        <w:tc>
          <w:tcPr>
            <w:tcW w:w="4762" w:type="dxa"/>
            <w:vAlign w:val="center"/>
          </w:tcPr>
          <w:p w14:paraId="488A89E6">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接收国外访学教师人数</w:t>
            </w:r>
          </w:p>
        </w:tc>
        <w:tc>
          <w:tcPr>
            <w:tcW w:w="875" w:type="dxa"/>
            <w:vAlign w:val="center"/>
          </w:tcPr>
          <w:p w14:paraId="291F218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9" w:type="dxa"/>
            <w:vAlign w:val="center"/>
          </w:tcPr>
          <w:p w14:paraId="2402E4F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4595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restart"/>
            <w:vAlign w:val="center"/>
          </w:tcPr>
          <w:p w14:paraId="1A73EF6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5</w:t>
            </w:r>
          </w:p>
        </w:tc>
        <w:tc>
          <w:tcPr>
            <w:tcW w:w="4762" w:type="dxa"/>
            <w:vAlign w:val="center"/>
          </w:tcPr>
          <w:p w14:paraId="42CC971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中外合作办学专业数</w:t>
            </w:r>
          </w:p>
        </w:tc>
        <w:tc>
          <w:tcPr>
            <w:tcW w:w="875" w:type="dxa"/>
            <w:vAlign w:val="center"/>
          </w:tcPr>
          <w:p w14:paraId="36C28B1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969" w:type="dxa"/>
            <w:vAlign w:val="center"/>
          </w:tcPr>
          <w:p w14:paraId="292C3D0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018D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Merge w:val="continue"/>
            <w:vAlign w:val="center"/>
          </w:tcPr>
          <w:p w14:paraId="129527FD">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62" w:type="dxa"/>
            <w:vAlign w:val="center"/>
          </w:tcPr>
          <w:p w14:paraId="76B38EBA">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其中：在校生数</w:t>
            </w:r>
          </w:p>
        </w:tc>
        <w:tc>
          <w:tcPr>
            <w:tcW w:w="875" w:type="dxa"/>
            <w:vAlign w:val="center"/>
          </w:tcPr>
          <w:p w14:paraId="211A873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9" w:type="dxa"/>
            <w:vAlign w:val="center"/>
          </w:tcPr>
          <w:p w14:paraId="2A281E1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0C8B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Align w:val="center"/>
          </w:tcPr>
          <w:p w14:paraId="2AFABF1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6</w:t>
            </w:r>
          </w:p>
        </w:tc>
        <w:tc>
          <w:tcPr>
            <w:tcW w:w="4762" w:type="dxa"/>
            <w:vAlign w:val="center"/>
          </w:tcPr>
          <w:p w14:paraId="13769C03">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专任教师赴国外指导和开展培训时间</w:t>
            </w:r>
          </w:p>
        </w:tc>
        <w:tc>
          <w:tcPr>
            <w:tcW w:w="875" w:type="dxa"/>
            <w:vAlign w:val="center"/>
          </w:tcPr>
          <w:p w14:paraId="2FA915F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人日</w:t>
            </w:r>
          </w:p>
        </w:tc>
        <w:tc>
          <w:tcPr>
            <w:tcW w:w="1969" w:type="dxa"/>
            <w:vAlign w:val="center"/>
          </w:tcPr>
          <w:p w14:paraId="28392A4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1FD0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Align w:val="center"/>
          </w:tcPr>
          <w:p w14:paraId="7BDA52D2">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7</w:t>
            </w:r>
          </w:p>
        </w:tc>
        <w:tc>
          <w:tcPr>
            <w:tcW w:w="4762" w:type="dxa"/>
            <w:vAlign w:val="center"/>
          </w:tcPr>
          <w:p w14:paraId="1B6060CB">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在国外组织担任职务的专任教师数</w:t>
            </w:r>
          </w:p>
        </w:tc>
        <w:tc>
          <w:tcPr>
            <w:tcW w:w="875" w:type="dxa"/>
            <w:vAlign w:val="center"/>
          </w:tcPr>
          <w:p w14:paraId="408E891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969" w:type="dxa"/>
            <w:vAlign w:val="center"/>
          </w:tcPr>
          <w:p w14:paraId="1772234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0</w:t>
            </w:r>
          </w:p>
        </w:tc>
      </w:tr>
      <w:tr w14:paraId="1CDF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32" w:type="dxa"/>
            <w:vAlign w:val="center"/>
          </w:tcPr>
          <w:p w14:paraId="773AF574">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8</w:t>
            </w:r>
          </w:p>
        </w:tc>
        <w:tc>
          <w:tcPr>
            <w:tcW w:w="4762" w:type="dxa"/>
            <w:vAlign w:val="center"/>
          </w:tcPr>
          <w:p w14:paraId="629D5C06">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国外技能大赛获奖数量</w:t>
            </w:r>
          </w:p>
        </w:tc>
        <w:tc>
          <w:tcPr>
            <w:tcW w:w="875" w:type="dxa"/>
            <w:vAlign w:val="center"/>
          </w:tcPr>
          <w:p w14:paraId="777592F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项</w:t>
            </w:r>
          </w:p>
        </w:tc>
        <w:tc>
          <w:tcPr>
            <w:tcW w:w="1969" w:type="dxa"/>
            <w:vAlign w:val="center"/>
          </w:tcPr>
          <w:p w14:paraId="7A2F99D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r>
    </w:tbl>
    <w:p w14:paraId="6E9B6B34">
      <w:pPr>
        <w:rPr>
          <w:rFonts w:ascii="Times New Roman" w:hAnsi="Times New Roman" w:eastAsia="方正仿宋_GBK"/>
          <w:b/>
          <w:bCs/>
          <w:color w:val="auto"/>
          <w:spacing w:val="3"/>
          <w:kern w:val="0"/>
          <w:sz w:val="32"/>
          <w:szCs w:val="32"/>
        </w:rPr>
      </w:pPr>
      <w:r>
        <w:rPr>
          <w:rFonts w:ascii="Times New Roman" w:hAnsi="Times New Roman" w:eastAsia="方正仿宋_GBK"/>
          <w:b/>
          <w:bCs/>
          <w:color w:val="auto"/>
          <w:spacing w:val="3"/>
          <w:kern w:val="0"/>
          <w:sz w:val="32"/>
          <w:szCs w:val="32"/>
        </w:rPr>
        <w:br w:type="page"/>
      </w:r>
    </w:p>
    <w:p w14:paraId="2F5520BE">
      <w:pPr>
        <w:pStyle w:val="40"/>
        <w:bidi w:val="0"/>
        <w:outlineLvl w:val="9"/>
      </w:pPr>
      <w:bookmarkStart w:id="627" w:name="_Toc19546"/>
      <w:bookmarkStart w:id="628" w:name="_Toc27501"/>
      <w:bookmarkStart w:id="629" w:name="_Toc8650"/>
      <w:bookmarkStart w:id="630" w:name="_Toc10433"/>
      <w:bookmarkStart w:id="631" w:name="_Toc29767"/>
      <w:bookmarkStart w:id="632" w:name="_Toc12119"/>
      <w:bookmarkStart w:id="633" w:name="_Toc13957"/>
      <w:bookmarkStart w:id="634" w:name="_Toc2894"/>
      <w:r>
        <w:t>表6</w:t>
      </w:r>
      <w:r>
        <w:rPr>
          <w:rFonts w:hint="eastAsia"/>
        </w:rPr>
        <w:t xml:space="preserve"> </w:t>
      </w:r>
      <w:r>
        <w:t>落实政策表</w:t>
      </w:r>
      <w:bookmarkEnd w:id="627"/>
      <w:bookmarkEnd w:id="628"/>
      <w:bookmarkEnd w:id="629"/>
      <w:bookmarkEnd w:id="630"/>
      <w:bookmarkEnd w:id="631"/>
      <w:bookmarkEnd w:id="632"/>
      <w:bookmarkEnd w:id="633"/>
      <w:bookmarkEnd w:id="634"/>
    </w:p>
    <w:tbl>
      <w:tblPr>
        <w:tblStyle w:val="31"/>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8"/>
        <w:gridCol w:w="4747"/>
        <w:gridCol w:w="793"/>
        <w:gridCol w:w="1175"/>
        <w:gridCol w:w="985"/>
      </w:tblGrid>
      <w:tr w14:paraId="08F5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Align w:val="center"/>
          </w:tcPr>
          <w:p w14:paraId="17C56F44">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序号</w:t>
            </w:r>
          </w:p>
        </w:tc>
        <w:tc>
          <w:tcPr>
            <w:tcW w:w="4747" w:type="dxa"/>
            <w:vAlign w:val="center"/>
          </w:tcPr>
          <w:p w14:paraId="5EE07C15">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指标</w:t>
            </w:r>
          </w:p>
        </w:tc>
        <w:tc>
          <w:tcPr>
            <w:tcW w:w="793" w:type="dxa"/>
            <w:vAlign w:val="center"/>
          </w:tcPr>
          <w:p w14:paraId="5F0EEB1E">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单位</w:t>
            </w:r>
          </w:p>
        </w:tc>
        <w:tc>
          <w:tcPr>
            <w:tcW w:w="1175" w:type="dxa"/>
            <w:vAlign w:val="center"/>
          </w:tcPr>
          <w:p w14:paraId="000BFE0E">
            <w:pPr>
              <w:pStyle w:val="13"/>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heme="minorEastAsia" w:hAnsiTheme="minorEastAsia" w:eastAsiaTheme="minorEastAsia" w:cstheme="minorEastAsia"/>
                <w:b/>
                <w:bCs w:val="0"/>
                <w:color w:val="auto"/>
                <w:spacing w:val="0"/>
                <w:kern w:val="0"/>
                <w:sz w:val="21"/>
                <w:szCs w:val="21"/>
              </w:rPr>
            </w:pPr>
            <w:r>
              <w:rPr>
                <w:rFonts w:hint="eastAsia" w:asciiTheme="minorEastAsia" w:hAnsiTheme="minorEastAsia" w:eastAsiaTheme="minorEastAsia" w:cstheme="minorEastAsia"/>
                <w:b/>
                <w:bCs w:val="0"/>
                <w:color w:val="auto"/>
                <w:spacing w:val="0"/>
                <w:kern w:val="0"/>
                <w:sz w:val="21"/>
                <w:szCs w:val="21"/>
              </w:rPr>
              <w:t>2024年</w:t>
            </w:r>
          </w:p>
        </w:tc>
        <w:tc>
          <w:tcPr>
            <w:tcW w:w="985" w:type="dxa"/>
            <w:vAlign w:val="center"/>
          </w:tcPr>
          <w:p w14:paraId="13018C5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b/>
                <w:color w:val="auto"/>
                <w:kern w:val="0"/>
                <w:sz w:val="21"/>
                <w:szCs w:val="21"/>
              </w:rPr>
            </w:pPr>
          </w:p>
        </w:tc>
      </w:tr>
      <w:tr w14:paraId="38DC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Align w:val="center"/>
          </w:tcPr>
          <w:p w14:paraId="3AED9E9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w:t>
            </w:r>
          </w:p>
        </w:tc>
        <w:tc>
          <w:tcPr>
            <w:tcW w:w="4747" w:type="dxa"/>
            <w:vAlign w:val="center"/>
          </w:tcPr>
          <w:p w14:paraId="24592533">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全日制在校生人数*</w:t>
            </w:r>
          </w:p>
        </w:tc>
        <w:tc>
          <w:tcPr>
            <w:tcW w:w="793" w:type="dxa"/>
            <w:vAlign w:val="center"/>
          </w:tcPr>
          <w:p w14:paraId="353DEF2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059C25F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6117</w:t>
            </w:r>
          </w:p>
        </w:tc>
        <w:tc>
          <w:tcPr>
            <w:tcW w:w="985" w:type="dxa"/>
            <w:vAlign w:val="center"/>
          </w:tcPr>
          <w:p w14:paraId="3F385AC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39D8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Align w:val="center"/>
          </w:tcPr>
          <w:p w14:paraId="64C87179">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2</w:t>
            </w:r>
          </w:p>
        </w:tc>
        <w:tc>
          <w:tcPr>
            <w:tcW w:w="4747" w:type="dxa"/>
            <w:vAlign w:val="center"/>
          </w:tcPr>
          <w:p w14:paraId="487E5491">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年生均财政拨款水平</w:t>
            </w:r>
          </w:p>
        </w:tc>
        <w:tc>
          <w:tcPr>
            <w:tcW w:w="793" w:type="dxa"/>
            <w:vAlign w:val="center"/>
          </w:tcPr>
          <w:p w14:paraId="4F5BA23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元</w:t>
            </w:r>
          </w:p>
        </w:tc>
        <w:tc>
          <w:tcPr>
            <w:tcW w:w="1175" w:type="dxa"/>
            <w:vAlign w:val="center"/>
          </w:tcPr>
          <w:p w14:paraId="638D543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1820.23</w:t>
            </w:r>
          </w:p>
        </w:tc>
        <w:tc>
          <w:tcPr>
            <w:tcW w:w="985" w:type="dxa"/>
            <w:vAlign w:val="center"/>
          </w:tcPr>
          <w:p w14:paraId="7D579CC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2B18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Align w:val="center"/>
          </w:tcPr>
          <w:p w14:paraId="0056814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w:t>
            </w:r>
          </w:p>
        </w:tc>
        <w:tc>
          <w:tcPr>
            <w:tcW w:w="4747" w:type="dxa"/>
            <w:vAlign w:val="center"/>
          </w:tcPr>
          <w:p w14:paraId="2B347E62">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年财政专项拨款</w:t>
            </w:r>
          </w:p>
        </w:tc>
        <w:tc>
          <w:tcPr>
            <w:tcW w:w="793" w:type="dxa"/>
            <w:vAlign w:val="center"/>
          </w:tcPr>
          <w:p w14:paraId="7D4AD2F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175" w:type="dxa"/>
            <w:vAlign w:val="center"/>
          </w:tcPr>
          <w:p w14:paraId="010D5E4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480.63</w:t>
            </w:r>
          </w:p>
        </w:tc>
        <w:tc>
          <w:tcPr>
            <w:tcW w:w="985" w:type="dxa"/>
            <w:vAlign w:val="center"/>
          </w:tcPr>
          <w:p w14:paraId="358BB9A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2D19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restart"/>
            <w:vAlign w:val="center"/>
          </w:tcPr>
          <w:p w14:paraId="5EE2097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4</w:t>
            </w:r>
          </w:p>
        </w:tc>
        <w:tc>
          <w:tcPr>
            <w:tcW w:w="4747" w:type="dxa"/>
            <w:vAlign w:val="center"/>
          </w:tcPr>
          <w:p w14:paraId="74DF5E40">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教职员工额定编制数</w:t>
            </w:r>
          </w:p>
        </w:tc>
        <w:tc>
          <w:tcPr>
            <w:tcW w:w="793" w:type="dxa"/>
            <w:vAlign w:val="center"/>
          </w:tcPr>
          <w:p w14:paraId="5EF552E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7A87528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288</w:t>
            </w:r>
          </w:p>
        </w:tc>
        <w:tc>
          <w:tcPr>
            <w:tcW w:w="985" w:type="dxa"/>
            <w:vAlign w:val="center"/>
          </w:tcPr>
          <w:p w14:paraId="725DD4A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7F58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6EDCE9A9">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7EEF33AF">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教职工总数</w:t>
            </w:r>
          </w:p>
        </w:tc>
        <w:tc>
          <w:tcPr>
            <w:tcW w:w="793" w:type="dxa"/>
            <w:vAlign w:val="center"/>
          </w:tcPr>
          <w:p w14:paraId="7A24214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2458AC0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400</w:t>
            </w:r>
          </w:p>
        </w:tc>
        <w:tc>
          <w:tcPr>
            <w:tcW w:w="985" w:type="dxa"/>
            <w:vAlign w:val="center"/>
          </w:tcPr>
          <w:p w14:paraId="76A6CC3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727E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1148C860">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6768C32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其中：专任教师总数</w:t>
            </w:r>
          </w:p>
        </w:tc>
        <w:tc>
          <w:tcPr>
            <w:tcW w:w="793" w:type="dxa"/>
            <w:vAlign w:val="center"/>
          </w:tcPr>
          <w:p w14:paraId="5C1E158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3741B94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345</w:t>
            </w:r>
          </w:p>
        </w:tc>
        <w:tc>
          <w:tcPr>
            <w:tcW w:w="985" w:type="dxa"/>
            <w:vAlign w:val="center"/>
          </w:tcPr>
          <w:p w14:paraId="34A765D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5998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28C20FE5">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140E1901">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思政课教师数*</w:t>
            </w:r>
          </w:p>
        </w:tc>
        <w:tc>
          <w:tcPr>
            <w:tcW w:w="793" w:type="dxa"/>
            <w:vAlign w:val="center"/>
          </w:tcPr>
          <w:p w14:paraId="0B41AAF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4E50BA5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13</w:t>
            </w:r>
          </w:p>
        </w:tc>
        <w:tc>
          <w:tcPr>
            <w:tcW w:w="985" w:type="dxa"/>
            <w:vAlign w:val="center"/>
          </w:tcPr>
          <w:p w14:paraId="5715A1A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0B08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069E851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19C8D652">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体育课专任教师数</w:t>
            </w:r>
          </w:p>
        </w:tc>
        <w:tc>
          <w:tcPr>
            <w:tcW w:w="793" w:type="dxa"/>
            <w:vAlign w:val="center"/>
          </w:tcPr>
          <w:p w14:paraId="55AB3BB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163F5CD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14</w:t>
            </w:r>
          </w:p>
        </w:tc>
        <w:tc>
          <w:tcPr>
            <w:tcW w:w="985" w:type="dxa"/>
            <w:vAlign w:val="center"/>
          </w:tcPr>
          <w:p w14:paraId="3A3E7C2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51C5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7828A44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444662A3">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美育课专任教师数</w:t>
            </w:r>
          </w:p>
        </w:tc>
        <w:tc>
          <w:tcPr>
            <w:tcW w:w="793" w:type="dxa"/>
            <w:vAlign w:val="center"/>
          </w:tcPr>
          <w:p w14:paraId="31B9362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19F0070E">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27</w:t>
            </w:r>
          </w:p>
        </w:tc>
        <w:tc>
          <w:tcPr>
            <w:tcW w:w="985" w:type="dxa"/>
            <w:vAlign w:val="center"/>
          </w:tcPr>
          <w:p w14:paraId="4E78DB2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5562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39B3C487">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24DDA4D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辅导员人数*</w:t>
            </w:r>
          </w:p>
        </w:tc>
        <w:tc>
          <w:tcPr>
            <w:tcW w:w="793" w:type="dxa"/>
            <w:vAlign w:val="center"/>
          </w:tcPr>
          <w:p w14:paraId="0AE3604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59AF9C2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高职填报</w:t>
            </w:r>
          </w:p>
        </w:tc>
        <w:tc>
          <w:tcPr>
            <w:tcW w:w="985" w:type="dxa"/>
            <w:vAlign w:val="center"/>
          </w:tcPr>
          <w:p w14:paraId="628E800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3AB2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0E1EE0D1">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2702C6A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班主任人数</w:t>
            </w:r>
          </w:p>
        </w:tc>
        <w:tc>
          <w:tcPr>
            <w:tcW w:w="793" w:type="dxa"/>
            <w:vAlign w:val="center"/>
          </w:tcPr>
          <w:p w14:paraId="15CD3363">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40721A7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127</w:t>
            </w:r>
          </w:p>
        </w:tc>
        <w:tc>
          <w:tcPr>
            <w:tcW w:w="985" w:type="dxa"/>
            <w:vAlign w:val="center"/>
          </w:tcPr>
          <w:p w14:paraId="311FAA9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1E7B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restart"/>
            <w:vAlign w:val="center"/>
          </w:tcPr>
          <w:p w14:paraId="5EDBA81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5</w:t>
            </w:r>
          </w:p>
        </w:tc>
        <w:tc>
          <w:tcPr>
            <w:tcW w:w="4747" w:type="dxa"/>
            <w:vAlign w:val="center"/>
          </w:tcPr>
          <w:p w14:paraId="73B83EC7">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参加国家学生体质健康标准测试人数</w:t>
            </w:r>
          </w:p>
        </w:tc>
        <w:tc>
          <w:tcPr>
            <w:tcW w:w="793" w:type="dxa"/>
            <w:vAlign w:val="center"/>
          </w:tcPr>
          <w:p w14:paraId="2456D9E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360FA54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5478</w:t>
            </w:r>
          </w:p>
        </w:tc>
        <w:tc>
          <w:tcPr>
            <w:tcW w:w="985" w:type="dxa"/>
            <w:vAlign w:val="center"/>
          </w:tcPr>
          <w:p w14:paraId="20689BCF">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27C2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4302A0C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373052AD">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其中：学生体质测评合格率</w:t>
            </w:r>
          </w:p>
        </w:tc>
        <w:tc>
          <w:tcPr>
            <w:tcW w:w="793" w:type="dxa"/>
            <w:vAlign w:val="center"/>
          </w:tcPr>
          <w:p w14:paraId="32231F0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w:t>
            </w:r>
          </w:p>
        </w:tc>
        <w:tc>
          <w:tcPr>
            <w:tcW w:w="1175" w:type="dxa"/>
            <w:vAlign w:val="center"/>
          </w:tcPr>
          <w:p w14:paraId="2A600C12">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95</w:t>
            </w:r>
          </w:p>
        </w:tc>
        <w:tc>
          <w:tcPr>
            <w:tcW w:w="985" w:type="dxa"/>
            <w:vAlign w:val="center"/>
          </w:tcPr>
          <w:p w14:paraId="2CFB3AC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3394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Align w:val="center"/>
          </w:tcPr>
          <w:p w14:paraId="5962E2AF">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6</w:t>
            </w:r>
          </w:p>
        </w:tc>
        <w:tc>
          <w:tcPr>
            <w:tcW w:w="4747" w:type="dxa"/>
            <w:vAlign w:val="center"/>
          </w:tcPr>
          <w:p w14:paraId="66BE7B3D">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职业技能等级证书（含职业资格证书）获取人数</w:t>
            </w:r>
          </w:p>
        </w:tc>
        <w:tc>
          <w:tcPr>
            <w:tcW w:w="793" w:type="dxa"/>
            <w:vAlign w:val="center"/>
          </w:tcPr>
          <w:p w14:paraId="32C6C2F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38887F4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1939</w:t>
            </w:r>
          </w:p>
        </w:tc>
        <w:tc>
          <w:tcPr>
            <w:tcW w:w="985" w:type="dxa"/>
            <w:vAlign w:val="center"/>
          </w:tcPr>
          <w:p w14:paraId="43273B2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603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Align w:val="center"/>
          </w:tcPr>
          <w:p w14:paraId="478FA765">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7</w:t>
            </w:r>
          </w:p>
        </w:tc>
        <w:tc>
          <w:tcPr>
            <w:tcW w:w="4747" w:type="dxa"/>
            <w:vAlign w:val="center"/>
          </w:tcPr>
          <w:p w14:paraId="182B15B5">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企业提供的校内实践教学设备值</w:t>
            </w:r>
          </w:p>
        </w:tc>
        <w:tc>
          <w:tcPr>
            <w:tcW w:w="793" w:type="dxa"/>
            <w:vAlign w:val="center"/>
          </w:tcPr>
          <w:p w14:paraId="0A60D8E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175" w:type="dxa"/>
            <w:vAlign w:val="center"/>
          </w:tcPr>
          <w:p w14:paraId="5D6596A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906.87</w:t>
            </w:r>
          </w:p>
        </w:tc>
        <w:tc>
          <w:tcPr>
            <w:tcW w:w="985" w:type="dxa"/>
            <w:vAlign w:val="center"/>
          </w:tcPr>
          <w:p w14:paraId="671DF5BD">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1B2E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Align w:val="center"/>
          </w:tcPr>
          <w:p w14:paraId="71B73339">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8</w:t>
            </w:r>
          </w:p>
        </w:tc>
        <w:tc>
          <w:tcPr>
            <w:tcW w:w="4747" w:type="dxa"/>
            <w:vAlign w:val="center"/>
          </w:tcPr>
          <w:p w14:paraId="2C32CE55">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与企业共建开放型区域产教融合实践中心</w:t>
            </w:r>
          </w:p>
        </w:tc>
        <w:tc>
          <w:tcPr>
            <w:tcW w:w="793" w:type="dxa"/>
            <w:vAlign w:val="center"/>
          </w:tcPr>
          <w:p w14:paraId="0DAEB0B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个</w:t>
            </w:r>
          </w:p>
        </w:tc>
        <w:tc>
          <w:tcPr>
            <w:tcW w:w="1175" w:type="dxa"/>
            <w:vAlign w:val="center"/>
          </w:tcPr>
          <w:p w14:paraId="668ED285">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5</w:t>
            </w:r>
          </w:p>
        </w:tc>
        <w:tc>
          <w:tcPr>
            <w:tcW w:w="985" w:type="dxa"/>
            <w:vAlign w:val="center"/>
          </w:tcPr>
          <w:p w14:paraId="3C28B0E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6234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restart"/>
            <w:vAlign w:val="center"/>
          </w:tcPr>
          <w:p w14:paraId="2FD310DB">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9</w:t>
            </w:r>
          </w:p>
        </w:tc>
        <w:tc>
          <w:tcPr>
            <w:tcW w:w="4747" w:type="dxa"/>
            <w:vAlign w:val="center"/>
          </w:tcPr>
          <w:p w14:paraId="5B1FB090">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聘请行业导师人数*</w:t>
            </w:r>
          </w:p>
        </w:tc>
        <w:tc>
          <w:tcPr>
            <w:tcW w:w="793" w:type="dxa"/>
            <w:vAlign w:val="center"/>
          </w:tcPr>
          <w:p w14:paraId="5CE752A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721C0C80">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18</w:t>
            </w:r>
          </w:p>
        </w:tc>
        <w:tc>
          <w:tcPr>
            <w:tcW w:w="985" w:type="dxa"/>
            <w:vAlign w:val="center"/>
          </w:tcPr>
          <w:p w14:paraId="7B9EC734">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6FA0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48EE7C3E">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14CF568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其中：聘请大国工匠、劳动模范人数</w:t>
            </w:r>
          </w:p>
        </w:tc>
        <w:tc>
          <w:tcPr>
            <w:tcW w:w="793" w:type="dxa"/>
            <w:vAlign w:val="center"/>
          </w:tcPr>
          <w:p w14:paraId="53946F1A">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人</w:t>
            </w:r>
          </w:p>
        </w:tc>
        <w:tc>
          <w:tcPr>
            <w:tcW w:w="1175" w:type="dxa"/>
            <w:vAlign w:val="center"/>
          </w:tcPr>
          <w:p w14:paraId="7C89538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w:t>
            </w:r>
          </w:p>
        </w:tc>
        <w:tc>
          <w:tcPr>
            <w:tcW w:w="985" w:type="dxa"/>
            <w:vAlign w:val="center"/>
          </w:tcPr>
          <w:p w14:paraId="02B599A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02DE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20301C7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675F1D01">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行业导师年课时总量*</w:t>
            </w:r>
          </w:p>
        </w:tc>
        <w:tc>
          <w:tcPr>
            <w:tcW w:w="793" w:type="dxa"/>
            <w:vAlign w:val="center"/>
          </w:tcPr>
          <w:p w14:paraId="6955DE9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课时</w:t>
            </w:r>
          </w:p>
        </w:tc>
        <w:tc>
          <w:tcPr>
            <w:tcW w:w="1175" w:type="dxa"/>
            <w:vAlign w:val="center"/>
          </w:tcPr>
          <w:p w14:paraId="581CCEC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1517</w:t>
            </w:r>
          </w:p>
        </w:tc>
        <w:tc>
          <w:tcPr>
            <w:tcW w:w="985" w:type="dxa"/>
            <w:vAlign w:val="center"/>
          </w:tcPr>
          <w:p w14:paraId="385EF2D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5048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396994DA">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p>
        </w:tc>
        <w:tc>
          <w:tcPr>
            <w:tcW w:w="4747" w:type="dxa"/>
            <w:vAlign w:val="center"/>
          </w:tcPr>
          <w:p w14:paraId="7601AEE9">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年支付行业导师课酬</w:t>
            </w:r>
          </w:p>
        </w:tc>
        <w:tc>
          <w:tcPr>
            <w:tcW w:w="793" w:type="dxa"/>
            <w:vAlign w:val="center"/>
          </w:tcPr>
          <w:p w14:paraId="337CCBEB">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175" w:type="dxa"/>
            <w:vAlign w:val="center"/>
          </w:tcPr>
          <w:p w14:paraId="255655A8">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13.5</w:t>
            </w:r>
          </w:p>
        </w:tc>
        <w:tc>
          <w:tcPr>
            <w:tcW w:w="985" w:type="dxa"/>
            <w:vAlign w:val="center"/>
          </w:tcPr>
          <w:p w14:paraId="3D1B617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2A5E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restart"/>
            <w:vAlign w:val="center"/>
          </w:tcPr>
          <w:p w14:paraId="44842848">
            <w:pPr>
              <w:pStyle w:val="13"/>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10</w:t>
            </w:r>
          </w:p>
        </w:tc>
        <w:tc>
          <w:tcPr>
            <w:tcW w:w="4747" w:type="dxa"/>
            <w:vAlign w:val="center"/>
          </w:tcPr>
          <w:p w14:paraId="302CF974">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年实习专项经费</w:t>
            </w:r>
          </w:p>
        </w:tc>
        <w:tc>
          <w:tcPr>
            <w:tcW w:w="793" w:type="dxa"/>
            <w:vAlign w:val="center"/>
          </w:tcPr>
          <w:p w14:paraId="5BE780E1">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175" w:type="dxa"/>
            <w:vAlign w:val="center"/>
          </w:tcPr>
          <w:p w14:paraId="04EBFC7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37.3</w:t>
            </w:r>
          </w:p>
        </w:tc>
        <w:tc>
          <w:tcPr>
            <w:tcW w:w="985" w:type="dxa"/>
            <w:vAlign w:val="center"/>
          </w:tcPr>
          <w:p w14:paraId="7EBE8249">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tr w14:paraId="502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8" w:type="dxa"/>
            <w:vMerge w:val="continue"/>
            <w:vAlign w:val="center"/>
          </w:tcPr>
          <w:p w14:paraId="76C72398">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center"/>
              <w:textAlignment w:val="auto"/>
              <w:rPr>
                <w:rFonts w:asciiTheme="minorEastAsia" w:hAnsiTheme="minorEastAsia" w:cstheme="minorEastAsia"/>
                <w:color w:val="auto"/>
                <w:kern w:val="0"/>
                <w:sz w:val="21"/>
                <w:szCs w:val="21"/>
              </w:rPr>
            </w:pPr>
          </w:p>
        </w:tc>
        <w:tc>
          <w:tcPr>
            <w:tcW w:w="4747" w:type="dxa"/>
            <w:vAlign w:val="center"/>
          </w:tcPr>
          <w:p w14:paraId="3053C06E">
            <w:pPr>
              <w:pStyle w:val="13"/>
              <w:keepNext w:val="0"/>
              <w:keepLines w:val="0"/>
              <w:pageBreakBefore w:val="0"/>
              <w:widowControl w:val="0"/>
              <w:kinsoku/>
              <w:wordWrap/>
              <w:overflowPunct/>
              <w:topLinePunct w:val="0"/>
              <w:autoSpaceDE/>
              <w:autoSpaceDN/>
              <w:bidi w:val="0"/>
              <w:adjustRightInd/>
              <w:snapToGrid/>
              <w:spacing w:after="0" w:line="400" w:lineRule="exact"/>
              <w:ind w:firstLine="364"/>
              <w:jc w:val="left"/>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其中：年实习责任保险经费</w:t>
            </w:r>
          </w:p>
        </w:tc>
        <w:tc>
          <w:tcPr>
            <w:tcW w:w="793" w:type="dxa"/>
            <w:vAlign w:val="center"/>
          </w:tcPr>
          <w:p w14:paraId="7837DFE6">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万元</w:t>
            </w:r>
          </w:p>
        </w:tc>
        <w:tc>
          <w:tcPr>
            <w:tcW w:w="1175" w:type="dxa"/>
            <w:vAlign w:val="center"/>
          </w:tcPr>
          <w:p w14:paraId="44489CD7">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r>
              <w:rPr>
                <w:rFonts w:asciiTheme="minorEastAsia" w:hAnsiTheme="minorEastAsia" w:cstheme="minorEastAsia"/>
                <w:color w:val="auto"/>
                <w:kern w:val="0"/>
                <w:sz w:val="21"/>
                <w:szCs w:val="21"/>
              </w:rPr>
              <w:t>3.73</w:t>
            </w:r>
          </w:p>
        </w:tc>
        <w:tc>
          <w:tcPr>
            <w:tcW w:w="985" w:type="dxa"/>
            <w:vAlign w:val="center"/>
          </w:tcPr>
          <w:p w14:paraId="03719C6C">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Theme="minorEastAsia" w:hAnsiTheme="minorEastAsia" w:cstheme="minorEastAsia"/>
                <w:color w:val="auto"/>
                <w:kern w:val="0"/>
                <w:sz w:val="21"/>
                <w:szCs w:val="21"/>
              </w:rPr>
            </w:pPr>
          </w:p>
        </w:tc>
      </w:tr>
      <w:bookmarkEnd w:id="79"/>
    </w:tbl>
    <w:p w14:paraId="520C35B2">
      <w:pPr>
        <w:pStyle w:val="2"/>
        <w:keepNext w:val="0"/>
        <w:keepLines w:val="0"/>
        <w:numPr>
          <w:ilvl w:val="0"/>
          <w:numId w:val="0"/>
        </w:numPr>
        <w:spacing w:before="0" w:after="0" w:line="240" w:lineRule="auto"/>
        <w:rPr>
          <w:rFonts w:ascii="Times New Roman" w:hAnsi="Times New Roman" w:cs="Times New Roman"/>
          <w:color w:val="auto"/>
        </w:rPr>
      </w:pPr>
    </w:p>
    <w:sectPr>
      <w:headerReference r:id="rId6" w:type="default"/>
      <w:footerReference r:id="rId7"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0D3061E-3054-404D-ADC9-81CA63D74404}"/>
  </w:font>
  <w:font w:name="黑体">
    <w:panose1 w:val="02010609060101010101"/>
    <w:charset w:val="86"/>
    <w:family w:val="auto"/>
    <w:pitch w:val="default"/>
    <w:sig w:usb0="800002BF" w:usb1="38CF7CFA" w:usb2="00000016" w:usb3="00000000" w:csb0="00040001" w:csb1="00000000"/>
    <w:embedRegular r:id="rId2" w:fontKey="{28A4B5E1-3473-453E-A284-B0AFEA0881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90E68DD-C9F3-4A7F-8423-A12FF3DB39F6}"/>
  </w:font>
  <w:font w:name="方正黑体_GBK">
    <w:panose1 w:val="03000509000000000000"/>
    <w:charset w:val="86"/>
    <w:family w:val="script"/>
    <w:pitch w:val="default"/>
    <w:sig w:usb0="00000001" w:usb1="080E0000" w:usb2="00000000" w:usb3="00000000" w:csb0="00040000" w:csb1="00000000"/>
    <w:embedRegular r:id="rId4" w:fontKey="{8A0B8F10-1BF0-47AC-9368-9CEB2635AE6B}"/>
  </w:font>
  <w:font w:name="方正楷体_GBK">
    <w:panose1 w:val="02000000000000000000"/>
    <w:charset w:val="86"/>
    <w:family w:val="script"/>
    <w:pitch w:val="default"/>
    <w:sig w:usb0="A00002BF" w:usb1="38CF7CFA" w:usb2="00082016" w:usb3="00000000" w:csb0="00040001" w:csb1="00000000"/>
    <w:embedRegular r:id="rId5" w:fontKey="{10C7C450-0AB5-4AB1-8E9A-AA55D5B4E2D5}"/>
  </w:font>
  <w:font w:name="方正小标宋_GBK">
    <w:panose1 w:val="03000509000000000000"/>
    <w:charset w:val="86"/>
    <w:family w:val="script"/>
    <w:pitch w:val="default"/>
    <w:sig w:usb0="00000001" w:usb1="080E0000" w:usb2="00000000" w:usb3="00000000" w:csb0="00040000" w:csb1="00000000"/>
    <w:embedRegular r:id="rId6" w:fontKey="{2BBE6C24-4C0F-4E8A-9BCB-D5E5812874AE}"/>
  </w:font>
  <w:font w:name="方正仿宋_GBK">
    <w:panose1 w:val="03000509000000000000"/>
    <w:charset w:val="86"/>
    <w:family w:val="script"/>
    <w:pitch w:val="default"/>
    <w:sig w:usb0="00000001" w:usb1="080E0000" w:usb2="00000000" w:usb3="00000000" w:csb0="00040000" w:csb1="00000000"/>
    <w:embedRegular r:id="rId7" w:fontKey="{B0A714E1-356E-4A57-918D-D9496848C8DE}"/>
  </w:font>
  <w:font w:name="等线">
    <w:panose1 w:val="02010600030101010101"/>
    <w:charset w:val="86"/>
    <w:family w:val="auto"/>
    <w:pitch w:val="default"/>
    <w:sig w:usb0="A00002BF" w:usb1="38CF7CFA" w:usb2="00000016" w:usb3="00000000" w:csb0="0004000F" w:csb1="00000000"/>
    <w:embedRegular r:id="rId8" w:fontKey="{74C7946C-FB61-4D62-9EE2-7F95B213E7F1}"/>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9" w:fontKey="{28211CC9-A335-414F-B590-7B8A243236D0}"/>
  </w:font>
  <w:font w:name="方正仿宋_GB2312">
    <w:panose1 w:val="02000000000000000000"/>
    <w:charset w:val="86"/>
    <w:family w:val="auto"/>
    <w:pitch w:val="default"/>
    <w:sig w:usb0="A00002BF" w:usb1="184F6CFA" w:usb2="00000012" w:usb3="00000000" w:csb0="00040001" w:csb1="00000000"/>
    <w:embedRegular r:id="rId10" w:fontKey="{7ABC3F06-11E2-47BE-AFF6-3E8F0B5B5693}"/>
  </w:font>
  <w:font w:name="华文仿宋">
    <w:panose1 w:val="02010600040101010101"/>
    <w:charset w:val="86"/>
    <w:family w:val="auto"/>
    <w:pitch w:val="default"/>
    <w:sig w:usb0="00000287" w:usb1="080F0000" w:usb2="00000000" w:usb3="00000000" w:csb0="0004009F" w:csb1="DFD70000"/>
    <w:embedRegular r:id="rId11" w:fontKey="{61C5ECC7-FAFF-42EE-B773-3B4028AE41A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01DDC">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B877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4FAB877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73F84">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A10D1">
                          <w:pPr>
                            <w:pStyle w:val="15"/>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30A10D1">
                    <w:pPr>
                      <w:pStyle w:val="15"/>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FF304">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A29D4">
                          <w:pPr>
                            <w:pStyle w:val="15"/>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278A29D4">
                    <w:pPr>
                      <w:pStyle w:val="15"/>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5461D">
    <w:pPr>
      <w:jc w:val="both"/>
      <w:rPr>
        <w:rFonts w:hint="eastAsia" w:ascii="方正楷体_GBK" w:hAnsi="方正楷体_GBK" w:eastAsia="方正楷体_GBK" w:cs="方正楷体_GBK"/>
        <w:sz w:val="28"/>
        <w:szCs w:val="2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D170B">
    <w:pPr>
      <w:rPr>
        <w:rFonts w:hint="eastAsia" w:ascii="方正楷体_GBK" w:hAnsi="方正楷体_GBK" w:eastAsia="方正楷体_GBK" w:cs="方正楷体_GBK"/>
        <w:sz w:val="28"/>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7D1AAB"/>
    <w:multiLevelType w:val="singleLevel"/>
    <w:tmpl w:val="F07D1AAB"/>
    <w:lvl w:ilvl="0" w:tentative="0">
      <w:start w:val="1"/>
      <w:numFmt w:val="chineseCounting"/>
      <w:suff w:val="nothing"/>
      <w:lvlText w:val="%1、"/>
      <w:lvlJc w:val="left"/>
      <w:rPr>
        <w:rFonts w:hint="eastAsia"/>
      </w:rPr>
    </w:lvl>
  </w:abstractNum>
  <w:abstractNum w:abstractNumId="1">
    <w:nsid w:val="247F9A09"/>
    <w:multiLevelType w:val="multilevel"/>
    <w:tmpl w:val="247F9A09"/>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582FD56E"/>
    <w:multiLevelType w:val="singleLevel"/>
    <w:tmpl w:val="582FD56E"/>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VhMDMwYjZiNTExZGYwZTUzZmUxNjAwM2JlODhmZWEifQ=="/>
  </w:docVars>
  <w:rsids>
    <w:rsidRoot w:val="00172A27"/>
    <w:rsid w:val="00172A27"/>
    <w:rsid w:val="001A4D4E"/>
    <w:rsid w:val="00281C6C"/>
    <w:rsid w:val="003B363E"/>
    <w:rsid w:val="00433082"/>
    <w:rsid w:val="004F0A5B"/>
    <w:rsid w:val="005706A0"/>
    <w:rsid w:val="005B5BA5"/>
    <w:rsid w:val="006477AA"/>
    <w:rsid w:val="00691965"/>
    <w:rsid w:val="006B2A57"/>
    <w:rsid w:val="00714D90"/>
    <w:rsid w:val="00716C85"/>
    <w:rsid w:val="00896747"/>
    <w:rsid w:val="00AE73E0"/>
    <w:rsid w:val="00C21B21"/>
    <w:rsid w:val="00DE08C9"/>
    <w:rsid w:val="00E0363F"/>
    <w:rsid w:val="00E1163B"/>
    <w:rsid w:val="00E65DEE"/>
    <w:rsid w:val="00EC3FE6"/>
    <w:rsid w:val="00F06773"/>
    <w:rsid w:val="012313A8"/>
    <w:rsid w:val="015C18AA"/>
    <w:rsid w:val="019E35F4"/>
    <w:rsid w:val="01F072A7"/>
    <w:rsid w:val="022005C5"/>
    <w:rsid w:val="02A67BEC"/>
    <w:rsid w:val="03222494"/>
    <w:rsid w:val="03253AFD"/>
    <w:rsid w:val="03914170"/>
    <w:rsid w:val="03EF2CE9"/>
    <w:rsid w:val="04525BD8"/>
    <w:rsid w:val="046D5AC7"/>
    <w:rsid w:val="04AE18D1"/>
    <w:rsid w:val="04B05722"/>
    <w:rsid w:val="04D46492"/>
    <w:rsid w:val="05472479"/>
    <w:rsid w:val="05481AB5"/>
    <w:rsid w:val="057B5C57"/>
    <w:rsid w:val="05CD1578"/>
    <w:rsid w:val="069F1F19"/>
    <w:rsid w:val="06AF6CC4"/>
    <w:rsid w:val="070D6D82"/>
    <w:rsid w:val="074676D6"/>
    <w:rsid w:val="08A532BA"/>
    <w:rsid w:val="09EE219C"/>
    <w:rsid w:val="0A855652"/>
    <w:rsid w:val="0AF127EA"/>
    <w:rsid w:val="0AF61E5A"/>
    <w:rsid w:val="0B022976"/>
    <w:rsid w:val="0B5331D2"/>
    <w:rsid w:val="0BE33755"/>
    <w:rsid w:val="0BFD7264"/>
    <w:rsid w:val="0C5B11D5"/>
    <w:rsid w:val="0D7872B1"/>
    <w:rsid w:val="0DEE7DE5"/>
    <w:rsid w:val="0E3C619F"/>
    <w:rsid w:val="0EA472C0"/>
    <w:rsid w:val="0EA56224"/>
    <w:rsid w:val="0ECC02A1"/>
    <w:rsid w:val="0F323347"/>
    <w:rsid w:val="0FF9537B"/>
    <w:rsid w:val="102E3EA1"/>
    <w:rsid w:val="10323595"/>
    <w:rsid w:val="103B33EB"/>
    <w:rsid w:val="10BA5FE5"/>
    <w:rsid w:val="10D821AF"/>
    <w:rsid w:val="118E2C5D"/>
    <w:rsid w:val="11BE3BDB"/>
    <w:rsid w:val="11E63AED"/>
    <w:rsid w:val="11F40DBE"/>
    <w:rsid w:val="1268174C"/>
    <w:rsid w:val="12C33D55"/>
    <w:rsid w:val="14166EAE"/>
    <w:rsid w:val="14A83585"/>
    <w:rsid w:val="152238A6"/>
    <w:rsid w:val="153B124F"/>
    <w:rsid w:val="15431BC1"/>
    <w:rsid w:val="156B1441"/>
    <w:rsid w:val="162C64A4"/>
    <w:rsid w:val="16D72E50"/>
    <w:rsid w:val="1798328E"/>
    <w:rsid w:val="17DA0366"/>
    <w:rsid w:val="190E4FD7"/>
    <w:rsid w:val="19442BDA"/>
    <w:rsid w:val="194E3CE9"/>
    <w:rsid w:val="19516540"/>
    <w:rsid w:val="1A395967"/>
    <w:rsid w:val="1A7C38FF"/>
    <w:rsid w:val="1AAF0734"/>
    <w:rsid w:val="1AEB1FD2"/>
    <w:rsid w:val="1B642891"/>
    <w:rsid w:val="1B650995"/>
    <w:rsid w:val="1B6A154A"/>
    <w:rsid w:val="1BB213D4"/>
    <w:rsid w:val="1BBC447B"/>
    <w:rsid w:val="1C6E3C5E"/>
    <w:rsid w:val="1C933604"/>
    <w:rsid w:val="1CA0425F"/>
    <w:rsid w:val="1CA73630"/>
    <w:rsid w:val="1CD6156D"/>
    <w:rsid w:val="1D303373"/>
    <w:rsid w:val="1DA000C0"/>
    <w:rsid w:val="1DB065AD"/>
    <w:rsid w:val="1DC4220A"/>
    <w:rsid w:val="1DC6338F"/>
    <w:rsid w:val="1DCE386A"/>
    <w:rsid w:val="1DDA2AAA"/>
    <w:rsid w:val="1E6E4B7A"/>
    <w:rsid w:val="1EBF1446"/>
    <w:rsid w:val="1EBF675C"/>
    <w:rsid w:val="1EC32895"/>
    <w:rsid w:val="1F1A7E37"/>
    <w:rsid w:val="1F363BD8"/>
    <w:rsid w:val="1F802866"/>
    <w:rsid w:val="1F8D685B"/>
    <w:rsid w:val="20236EFB"/>
    <w:rsid w:val="20674D20"/>
    <w:rsid w:val="206C2914"/>
    <w:rsid w:val="207B2B57"/>
    <w:rsid w:val="2170420B"/>
    <w:rsid w:val="2192709C"/>
    <w:rsid w:val="21B16C1F"/>
    <w:rsid w:val="21DD6EFA"/>
    <w:rsid w:val="21E20277"/>
    <w:rsid w:val="22C80B46"/>
    <w:rsid w:val="22E75036"/>
    <w:rsid w:val="23365435"/>
    <w:rsid w:val="23AA6C02"/>
    <w:rsid w:val="23EF693F"/>
    <w:rsid w:val="241C6A54"/>
    <w:rsid w:val="24480FA2"/>
    <w:rsid w:val="24892829"/>
    <w:rsid w:val="24DB5972"/>
    <w:rsid w:val="24EA12E1"/>
    <w:rsid w:val="2670334B"/>
    <w:rsid w:val="26864004"/>
    <w:rsid w:val="268B3BD7"/>
    <w:rsid w:val="26976211"/>
    <w:rsid w:val="26E50E3D"/>
    <w:rsid w:val="26EA02B2"/>
    <w:rsid w:val="26F35BD2"/>
    <w:rsid w:val="27617398"/>
    <w:rsid w:val="276C667F"/>
    <w:rsid w:val="2777484B"/>
    <w:rsid w:val="27C272BD"/>
    <w:rsid w:val="28345075"/>
    <w:rsid w:val="28B409B4"/>
    <w:rsid w:val="28B4329B"/>
    <w:rsid w:val="28DE1B36"/>
    <w:rsid w:val="28EF6D89"/>
    <w:rsid w:val="294A1318"/>
    <w:rsid w:val="295C1BAD"/>
    <w:rsid w:val="298C5A53"/>
    <w:rsid w:val="299C63DF"/>
    <w:rsid w:val="29DD218D"/>
    <w:rsid w:val="2AB0697D"/>
    <w:rsid w:val="2AE639DB"/>
    <w:rsid w:val="2B631275"/>
    <w:rsid w:val="2BAD1469"/>
    <w:rsid w:val="2BDE5C4B"/>
    <w:rsid w:val="2BFC747A"/>
    <w:rsid w:val="2C7A3CC3"/>
    <w:rsid w:val="2CB67569"/>
    <w:rsid w:val="2CC76306"/>
    <w:rsid w:val="2DA21723"/>
    <w:rsid w:val="2DA542B0"/>
    <w:rsid w:val="2DAC1B27"/>
    <w:rsid w:val="2DC04A12"/>
    <w:rsid w:val="2DC60356"/>
    <w:rsid w:val="2E3946DC"/>
    <w:rsid w:val="2E3D58F0"/>
    <w:rsid w:val="2E643179"/>
    <w:rsid w:val="2EDC2A13"/>
    <w:rsid w:val="2EE401B3"/>
    <w:rsid w:val="2F305838"/>
    <w:rsid w:val="2FC446A3"/>
    <w:rsid w:val="2FFC001A"/>
    <w:rsid w:val="30336E57"/>
    <w:rsid w:val="30883271"/>
    <w:rsid w:val="308B29B1"/>
    <w:rsid w:val="30C65728"/>
    <w:rsid w:val="31177908"/>
    <w:rsid w:val="31A752C5"/>
    <w:rsid w:val="31B732C3"/>
    <w:rsid w:val="327411B4"/>
    <w:rsid w:val="327E5707"/>
    <w:rsid w:val="329B0E37"/>
    <w:rsid w:val="32B21741"/>
    <w:rsid w:val="32E82C4C"/>
    <w:rsid w:val="33270673"/>
    <w:rsid w:val="333D0F8E"/>
    <w:rsid w:val="33707CBC"/>
    <w:rsid w:val="338B7580"/>
    <w:rsid w:val="33992789"/>
    <w:rsid w:val="340D0E15"/>
    <w:rsid w:val="34430CE2"/>
    <w:rsid w:val="34430F79"/>
    <w:rsid w:val="34705E4B"/>
    <w:rsid w:val="349301C8"/>
    <w:rsid w:val="34AF6D40"/>
    <w:rsid w:val="356F4547"/>
    <w:rsid w:val="35731BF7"/>
    <w:rsid w:val="359801CE"/>
    <w:rsid w:val="35C938AB"/>
    <w:rsid w:val="35D93C3D"/>
    <w:rsid w:val="361D68E4"/>
    <w:rsid w:val="36603F29"/>
    <w:rsid w:val="3669567D"/>
    <w:rsid w:val="36F54638"/>
    <w:rsid w:val="36F8344F"/>
    <w:rsid w:val="37F60FE9"/>
    <w:rsid w:val="38063131"/>
    <w:rsid w:val="386046B4"/>
    <w:rsid w:val="3885411B"/>
    <w:rsid w:val="38A45B2F"/>
    <w:rsid w:val="38B779DA"/>
    <w:rsid w:val="396F2905"/>
    <w:rsid w:val="397D519A"/>
    <w:rsid w:val="39A50C9C"/>
    <w:rsid w:val="39D73DCA"/>
    <w:rsid w:val="3A28430C"/>
    <w:rsid w:val="3A8D33B9"/>
    <w:rsid w:val="3A990317"/>
    <w:rsid w:val="3AB97A67"/>
    <w:rsid w:val="3B051543"/>
    <w:rsid w:val="3B767EE2"/>
    <w:rsid w:val="3C260522"/>
    <w:rsid w:val="3C7050E2"/>
    <w:rsid w:val="3C8A164C"/>
    <w:rsid w:val="3C9A00F7"/>
    <w:rsid w:val="3CCE2A18"/>
    <w:rsid w:val="3D032A07"/>
    <w:rsid w:val="3D583BAC"/>
    <w:rsid w:val="3DCB12C1"/>
    <w:rsid w:val="3E612620"/>
    <w:rsid w:val="3F0E1D80"/>
    <w:rsid w:val="3F5B3839"/>
    <w:rsid w:val="3F5C3E4F"/>
    <w:rsid w:val="3F80563C"/>
    <w:rsid w:val="40151BED"/>
    <w:rsid w:val="403F2E01"/>
    <w:rsid w:val="42205718"/>
    <w:rsid w:val="42615F95"/>
    <w:rsid w:val="42786A9F"/>
    <w:rsid w:val="42BF022A"/>
    <w:rsid w:val="42DA32B5"/>
    <w:rsid w:val="43947908"/>
    <w:rsid w:val="448304AA"/>
    <w:rsid w:val="44CA0D34"/>
    <w:rsid w:val="44CB735A"/>
    <w:rsid w:val="44CD1324"/>
    <w:rsid w:val="44EE3048"/>
    <w:rsid w:val="456B0237"/>
    <w:rsid w:val="456E4C88"/>
    <w:rsid w:val="45B90E59"/>
    <w:rsid w:val="46F75EF3"/>
    <w:rsid w:val="47234906"/>
    <w:rsid w:val="47DB2840"/>
    <w:rsid w:val="487E46E3"/>
    <w:rsid w:val="48D37E46"/>
    <w:rsid w:val="492139EC"/>
    <w:rsid w:val="4928020D"/>
    <w:rsid w:val="496F23B9"/>
    <w:rsid w:val="49BF6D61"/>
    <w:rsid w:val="49CA6D87"/>
    <w:rsid w:val="49FE1F2A"/>
    <w:rsid w:val="4A05330E"/>
    <w:rsid w:val="4A315637"/>
    <w:rsid w:val="4A840915"/>
    <w:rsid w:val="4A8E7CB4"/>
    <w:rsid w:val="4B34391F"/>
    <w:rsid w:val="4C0B417D"/>
    <w:rsid w:val="4C650C9A"/>
    <w:rsid w:val="4CE246DA"/>
    <w:rsid w:val="4D630CEA"/>
    <w:rsid w:val="4D7D1893"/>
    <w:rsid w:val="4DA10619"/>
    <w:rsid w:val="4DEB50A1"/>
    <w:rsid w:val="4E2D1DF5"/>
    <w:rsid w:val="4E4C2DF2"/>
    <w:rsid w:val="4E721C6A"/>
    <w:rsid w:val="4F082F58"/>
    <w:rsid w:val="4F172356"/>
    <w:rsid w:val="4F2338C8"/>
    <w:rsid w:val="506F4BB7"/>
    <w:rsid w:val="51077231"/>
    <w:rsid w:val="510F299A"/>
    <w:rsid w:val="5139389D"/>
    <w:rsid w:val="51A258E6"/>
    <w:rsid w:val="51B0237C"/>
    <w:rsid w:val="520362E3"/>
    <w:rsid w:val="52C673B2"/>
    <w:rsid w:val="52E5716D"/>
    <w:rsid w:val="5326001B"/>
    <w:rsid w:val="53607919"/>
    <w:rsid w:val="536C61AC"/>
    <w:rsid w:val="53CA6879"/>
    <w:rsid w:val="53E15798"/>
    <w:rsid w:val="53E45D42"/>
    <w:rsid w:val="54005B5D"/>
    <w:rsid w:val="54005EC3"/>
    <w:rsid w:val="544B14FA"/>
    <w:rsid w:val="546B18CD"/>
    <w:rsid w:val="54E92733"/>
    <w:rsid w:val="550A5AF4"/>
    <w:rsid w:val="551268DF"/>
    <w:rsid w:val="555B7490"/>
    <w:rsid w:val="55926EB7"/>
    <w:rsid w:val="55941A2F"/>
    <w:rsid w:val="55C45FE3"/>
    <w:rsid w:val="55C91A16"/>
    <w:rsid w:val="55EF39C4"/>
    <w:rsid w:val="56344877"/>
    <w:rsid w:val="564877C0"/>
    <w:rsid w:val="56722DCA"/>
    <w:rsid w:val="567943AF"/>
    <w:rsid w:val="567A2A75"/>
    <w:rsid w:val="569B3A2A"/>
    <w:rsid w:val="56C83D6D"/>
    <w:rsid w:val="56E23B0B"/>
    <w:rsid w:val="56EF6940"/>
    <w:rsid w:val="57AA5A0B"/>
    <w:rsid w:val="581A6425"/>
    <w:rsid w:val="582162BB"/>
    <w:rsid w:val="58566FC1"/>
    <w:rsid w:val="58905D62"/>
    <w:rsid w:val="58B61A6C"/>
    <w:rsid w:val="58BA3515"/>
    <w:rsid w:val="59323D03"/>
    <w:rsid w:val="59C52408"/>
    <w:rsid w:val="5A5C4C98"/>
    <w:rsid w:val="5A5D4984"/>
    <w:rsid w:val="5A6279C1"/>
    <w:rsid w:val="5A64198B"/>
    <w:rsid w:val="5A9E749A"/>
    <w:rsid w:val="5AE1122D"/>
    <w:rsid w:val="5AFC7E15"/>
    <w:rsid w:val="5B6240C3"/>
    <w:rsid w:val="5C315E8E"/>
    <w:rsid w:val="5C4135B3"/>
    <w:rsid w:val="5C932A98"/>
    <w:rsid w:val="5D0001D0"/>
    <w:rsid w:val="5D183DBD"/>
    <w:rsid w:val="5D231565"/>
    <w:rsid w:val="5D751E89"/>
    <w:rsid w:val="5DC81954"/>
    <w:rsid w:val="5DE51EA6"/>
    <w:rsid w:val="5E1577F7"/>
    <w:rsid w:val="5E1C162A"/>
    <w:rsid w:val="5E8C5A82"/>
    <w:rsid w:val="5F125E59"/>
    <w:rsid w:val="5F8108E9"/>
    <w:rsid w:val="5FB23198"/>
    <w:rsid w:val="5FBB79FE"/>
    <w:rsid w:val="60D84357"/>
    <w:rsid w:val="60F94C72"/>
    <w:rsid w:val="61304E49"/>
    <w:rsid w:val="61417404"/>
    <w:rsid w:val="61C640C0"/>
    <w:rsid w:val="621719D8"/>
    <w:rsid w:val="62727F12"/>
    <w:rsid w:val="62917095"/>
    <w:rsid w:val="62966DA1"/>
    <w:rsid w:val="62B5657B"/>
    <w:rsid w:val="62DB69A4"/>
    <w:rsid w:val="62F8610E"/>
    <w:rsid w:val="62FE6E0F"/>
    <w:rsid w:val="6315289A"/>
    <w:rsid w:val="634950F6"/>
    <w:rsid w:val="6390559E"/>
    <w:rsid w:val="63D62156"/>
    <w:rsid w:val="64422753"/>
    <w:rsid w:val="648D31CB"/>
    <w:rsid w:val="64915A72"/>
    <w:rsid w:val="64AF7CA6"/>
    <w:rsid w:val="64F0428B"/>
    <w:rsid w:val="65336170"/>
    <w:rsid w:val="65405CCA"/>
    <w:rsid w:val="655967F7"/>
    <w:rsid w:val="65B7603D"/>
    <w:rsid w:val="65E7269E"/>
    <w:rsid w:val="65EF3672"/>
    <w:rsid w:val="66241666"/>
    <w:rsid w:val="66C6738F"/>
    <w:rsid w:val="678701BB"/>
    <w:rsid w:val="6797542A"/>
    <w:rsid w:val="67987117"/>
    <w:rsid w:val="67B0734D"/>
    <w:rsid w:val="67BA708E"/>
    <w:rsid w:val="6817016F"/>
    <w:rsid w:val="682F73B1"/>
    <w:rsid w:val="685D720A"/>
    <w:rsid w:val="68870689"/>
    <w:rsid w:val="68F71C1C"/>
    <w:rsid w:val="696763D3"/>
    <w:rsid w:val="69C5357E"/>
    <w:rsid w:val="69F45E47"/>
    <w:rsid w:val="6A0465CC"/>
    <w:rsid w:val="6A205FD4"/>
    <w:rsid w:val="6A2473CA"/>
    <w:rsid w:val="6A3B0A76"/>
    <w:rsid w:val="6A7F42D0"/>
    <w:rsid w:val="6BB05FD4"/>
    <w:rsid w:val="6BD66906"/>
    <w:rsid w:val="6C2F103C"/>
    <w:rsid w:val="6CAC6CBE"/>
    <w:rsid w:val="6CF55C21"/>
    <w:rsid w:val="6D583649"/>
    <w:rsid w:val="6D652F52"/>
    <w:rsid w:val="6E236EB2"/>
    <w:rsid w:val="6E3326E1"/>
    <w:rsid w:val="6FF173C5"/>
    <w:rsid w:val="6FF539C8"/>
    <w:rsid w:val="704908C1"/>
    <w:rsid w:val="70693FC3"/>
    <w:rsid w:val="70860351"/>
    <w:rsid w:val="70BF5715"/>
    <w:rsid w:val="710C52DD"/>
    <w:rsid w:val="718F558C"/>
    <w:rsid w:val="7195642C"/>
    <w:rsid w:val="71B40665"/>
    <w:rsid w:val="71CF5FA5"/>
    <w:rsid w:val="71F65166"/>
    <w:rsid w:val="727462E2"/>
    <w:rsid w:val="72D25AB0"/>
    <w:rsid w:val="735B6AB0"/>
    <w:rsid w:val="73A00E5C"/>
    <w:rsid w:val="73F92CEC"/>
    <w:rsid w:val="74962A5A"/>
    <w:rsid w:val="74CC21AE"/>
    <w:rsid w:val="74F160B9"/>
    <w:rsid w:val="74F76EEE"/>
    <w:rsid w:val="75693EA1"/>
    <w:rsid w:val="75B2194A"/>
    <w:rsid w:val="75B90A7A"/>
    <w:rsid w:val="75D13F0D"/>
    <w:rsid w:val="75D96CB4"/>
    <w:rsid w:val="75DB1B2D"/>
    <w:rsid w:val="75ED35E6"/>
    <w:rsid w:val="760556AF"/>
    <w:rsid w:val="760B4F58"/>
    <w:rsid w:val="761117C2"/>
    <w:rsid w:val="76872831"/>
    <w:rsid w:val="76C865EB"/>
    <w:rsid w:val="76CF41D8"/>
    <w:rsid w:val="77477382"/>
    <w:rsid w:val="77732DB5"/>
    <w:rsid w:val="77D55B8F"/>
    <w:rsid w:val="780163DE"/>
    <w:rsid w:val="78262571"/>
    <w:rsid w:val="782C7B34"/>
    <w:rsid w:val="782E4887"/>
    <w:rsid w:val="783C2E54"/>
    <w:rsid w:val="78705564"/>
    <w:rsid w:val="78EF58A7"/>
    <w:rsid w:val="79022643"/>
    <w:rsid w:val="791F3958"/>
    <w:rsid w:val="79CB41F2"/>
    <w:rsid w:val="79F857F4"/>
    <w:rsid w:val="7A0578CF"/>
    <w:rsid w:val="7A0B2DDB"/>
    <w:rsid w:val="7A680BCB"/>
    <w:rsid w:val="7A797FE1"/>
    <w:rsid w:val="7AC74579"/>
    <w:rsid w:val="7B816A0A"/>
    <w:rsid w:val="7BC311C4"/>
    <w:rsid w:val="7C4D3D65"/>
    <w:rsid w:val="7C594C70"/>
    <w:rsid w:val="7CA13AEE"/>
    <w:rsid w:val="7CC006A1"/>
    <w:rsid w:val="7CE1529C"/>
    <w:rsid w:val="7CF2514D"/>
    <w:rsid w:val="7D10667E"/>
    <w:rsid w:val="7D3676C7"/>
    <w:rsid w:val="7E3037AE"/>
    <w:rsid w:val="7E62154E"/>
    <w:rsid w:val="7EAF458C"/>
    <w:rsid w:val="7EAF6DC9"/>
    <w:rsid w:val="7F3B24CE"/>
    <w:rsid w:val="7F4D0229"/>
    <w:rsid w:val="7FBA7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line="600" w:lineRule="exact"/>
      <w:outlineLvl w:val="0"/>
    </w:pPr>
    <w:rPr>
      <w:rFonts w:ascii="Times New Roman" w:hAnsi="Times New Roman" w:eastAsia="方正黑体_GBK" w:cs="Times New Roman"/>
      <w:color w:val="auto"/>
      <w:sz w:val="32"/>
      <w:szCs w:val="32"/>
    </w:rPr>
  </w:style>
  <w:style w:type="paragraph" w:styleId="3">
    <w:name w:val="heading 2"/>
    <w:basedOn w:val="1"/>
    <w:next w:val="1"/>
    <w:autoRedefine/>
    <w:unhideWhenUsed/>
    <w:qFormat/>
    <w:uiPriority w:val="0"/>
    <w:pPr>
      <w:ind w:firstLine="420" w:firstLineChars="200"/>
      <w:jc w:val="left"/>
      <w:outlineLvl w:val="1"/>
    </w:pPr>
    <w:rPr>
      <w:rFonts w:eastAsia="方正楷体_GBK" w:asciiTheme="minorAscii" w:hAnsiTheme="minorAscii"/>
      <w:sz w:val="32"/>
    </w:rPr>
  </w:style>
  <w:style w:type="paragraph" w:styleId="4">
    <w:name w:val="heading 3"/>
    <w:basedOn w:val="3"/>
    <w:next w:val="1"/>
    <w:autoRedefine/>
    <w:unhideWhenUsed/>
    <w:qFormat/>
    <w:uiPriority w:val="0"/>
    <w:pPr>
      <w:outlineLvl w:val="2"/>
    </w:pPr>
  </w:style>
  <w:style w:type="paragraph" w:styleId="5">
    <w:name w:val="heading 4"/>
    <w:basedOn w:val="2"/>
    <w:next w:val="1"/>
    <w:autoRedefine/>
    <w:unhideWhenUsed/>
    <w:qFormat/>
    <w:uiPriority w:val="0"/>
    <w:pPr>
      <w:widowControl/>
      <w:pBdr>
        <w:top w:val="none" w:color="auto" w:sz="0" w:space="0"/>
        <w:left w:val="none" w:color="auto" w:sz="0" w:space="0"/>
        <w:bottom w:val="none" w:color="auto" w:sz="0" w:space="0"/>
        <w:right w:val="none" w:color="auto" w:sz="0" w:space="0"/>
      </w:pBdr>
      <w:shd w:val="clear" w:fill="FFFFFF"/>
      <w:spacing w:after="210"/>
      <w:jc w:val="center"/>
      <w:outlineLvl w:val="3"/>
    </w:pPr>
    <w:rPr>
      <w:rFonts w:eastAsia="方正小标宋_GBK"/>
      <w:bCs/>
      <w:kern w:val="44"/>
      <w:sz w:val="44"/>
      <w:szCs w:val="44"/>
    </w:rPr>
  </w:style>
  <w:style w:type="paragraph" w:styleId="6">
    <w:name w:val="heading 5"/>
    <w:basedOn w:val="1"/>
    <w:next w:val="1"/>
    <w:autoRedefine/>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11">
    <w:name w:val="Normal Indent"/>
    <w:autoRedefine/>
    <w:unhideWhenUsed/>
    <w:qFormat/>
    <w:uiPriority w:val="0"/>
    <w:pPr>
      <w:widowControl w:val="0"/>
      <w:ind w:firstLine="420" w:firstLineChars="200"/>
      <w:jc w:val="both"/>
    </w:pPr>
    <w:rPr>
      <w:rFonts w:ascii="Times New Roman" w:hAnsi="Times New Roman" w:eastAsia="宋体" w:cs="Times New Roman"/>
      <w:kern w:val="2"/>
      <w:sz w:val="21"/>
      <w:lang w:val="en-US" w:eastAsia="zh-CN" w:bidi="ar-SA"/>
    </w:rPr>
  </w:style>
  <w:style w:type="paragraph" w:styleId="12">
    <w:name w:val="caption"/>
    <w:basedOn w:val="1"/>
    <w:next w:val="1"/>
    <w:autoRedefine/>
    <w:unhideWhenUsed/>
    <w:qFormat/>
    <w:uiPriority w:val="0"/>
    <w:rPr>
      <w:rFonts w:ascii="Arial" w:hAnsi="Arial" w:eastAsia="黑体"/>
      <w:sz w:val="20"/>
    </w:rPr>
  </w:style>
  <w:style w:type="paragraph" w:styleId="13">
    <w:name w:val="Body Text"/>
    <w:basedOn w:val="1"/>
    <w:autoRedefine/>
    <w:qFormat/>
    <w:uiPriority w:val="0"/>
    <w:pPr>
      <w:spacing w:after="120"/>
      <w:ind w:firstLine="584" w:firstLineChars="200"/>
    </w:pPr>
    <w:rPr>
      <w:rFonts w:ascii="方正黑体_GBK" w:hAnsi="Times New Roman" w:eastAsia="方正黑体_GBK" w:cs="方正仿宋_GBK"/>
      <w:bCs/>
      <w:spacing w:val="-14"/>
      <w:kern w:val="0"/>
      <w:sz w:val="32"/>
      <w:szCs w:val="32"/>
    </w:rPr>
  </w:style>
  <w:style w:type="paragraph" w:styleId="14">
    <w:name w:val="toc 3"/>
    <w:basedOn w:val="1"/>
    <w:next w:val="1"/>
    <w:autoRedefine/>
    <w:qFormat/>
    <w:uiPriority w:val="0"/>
    <w:pPr>
      <w:ind w:left="840" w:leftChars="400"/>
    </w:pPr>
  </w:style>
  <w:style w:type="paragraph" w:styleId="15">
    <w:name w:val="footer"/>
    <w:basedOn w:val="1"/>
    <w:link w:val="28"/>
    <w:autoRedefine/>
    <w:qFormat/>
    <w:uiPriority w:val="0"/>
    <w:pPr>
      <w:tabs>
        <w:tab w:val="center" w:pos="4153"/>
        <w:tab w:val="right" w:pos="8306"/>
      </w:tabs>
      <w:snapToGrid w:val="0"/>
      <w:jc w:val="left"/>
    </w:pPr>
    <w:rPr>
      <w:sz w:val="18"/>
      <w:szCs w:val="18"/>
    </w:rPr>
  </w:style>
  <w:style w:type="paragraph" w:styleId="16">
    <w:name w:val="header"/>
    <w:basedOn w:val="1"/>
    <w:link w:val="27"/>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link w:val="43"/>
    <w:autoRedefine/>
    <w:qFormat/>
    <w:uiPriority w:val="0"/>
  </w:style>
  <w:style w:type="paragraph" w:styleId="18">
    <w:name w:val="table of figures"/>
    <w:basedOn w:val="1"/>
    <w:next w:val="1"/>
    <w:autoRedefine/>
    <w:qFormat/>
    <w:uiPriority w:val="0"/>
    <w:pPr>
      <w:spacing w:line="600" w:lineRule="exact"/>
      <w:ind w:firstLine="0" w:firstLineChars="0"/>
      <w:jc w:val="center"/>
    </w:pPr>
    <w:rPr>
      <w:rFonts w:eastAsia="方正仿宋_GBK" w:asciiTheme="minorAscii" w:hAnsiTheme="minorAscii"/>
      <w:sz w:val="30"/>
    </w:rPr>
  </w:style>
  <w:style w:type="paragraph" w:styleId="19">
    <w:name w:val="toc 2"/>
    <w:basedOn w:val="18"/>
    <w:next w:val="1"/>
    <w:autoRedefine/>
    <w:qFormat/>
    <w:uiPriority w:val="0"/>
    <w:pPr>
      <w:tabs>
        <w:tab w:val="right" w:leader="dot" w:pos="8845"/>
      </w:tabs>
    </w:pPr>
    <w:rPr>
      <w:sz w:val="24"/>
    </w:rPr>
  </w:style>
  <w:style w:type="paragraph" w:styleId="20">
    <w:name w:val="Normal (Web)"/>
    <w:basedOn w:val="1"/>
    <w:autoRedefine/>
    <w:unhideWhenUsed/>
    <w:qFormat/>
    <w:uiPriority w:val="0"/>
    <w:pPr>
      <w:spacing w:before="100" w:beforeAutospacing="1" w:after="100" w:afterAutospacing="1"/>
      <w:jc w:val="left"/>
    </w:pPr>
    <w:rPr>
      <w:rFonts w:ascii="Calibri" w:hAnsi="Calibri"/>
      <w:kern w:val="0"/>
      <w:sz w:val="24"/>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FollowedHyperlink"/>
    <w:basedOn w:val="23"/>
    <w:autoRedefine/>
    <w:qFormat/>
    <w:uiPriority w:val="0"/>
    <w:rPr>
      <w:color w:val="800080"/>
      <w:u w:val="single"/>
    </w:rPr>
  </w:style>
  <w:style w:type="character" w:styleId="26">
    <w:name w:val="Hyperlink"/>
    <w:basedOn w:val="23"/>
    <w:autoRedefine/>
    <w:qFormat/>
    <w:uiPriority w:val="0"/>
    <w:rPr>
      <w:color w:val="0000FF"/>
      <w:u w:val="single"/>
    </w:rPr>
  </w:style>
  <w:style w:type="character" w:customStyle="1" w:styleId="27">
    <w:name w:val="页眉 字符"/>
    <w:basedOn w:val="23"/>
    <w:link w:val="16"/>
    <w:autoRedefine/>
    <w:qFormat/>
    <w:uiPriority w:val="0"/>
    <w:rPr>
      <w:rFonts w:asciiTheme="minorHAnsi" w:hAnsiTheme="minorHAnsi" w:eastAsiaTheme="minorEastAsia" w:cstheme="minorBidi"/>
      <w:kern w:val="2"/>
      <w:sz w:val="18"/>
      <w:szCs w:val="18"/>
    </w:rPr>
  </w:style>
  <w:style w:type="character" w:customStyle="1" w:styleId="28">
    <w:name w:val="页脚 字符"/>
    <w:basedOn w:val="23"/>
    <w:link w:val="15"/>
    <w:autoRedefine/>
    <w:qFormat/>
    <w:uiPriority w:val="0"/>
    <w:rPr>
      <w:rFonts w:asciiTheme="minorHAnsi" w:hAnsiTheme="minorHAnsi" w:eastAsiaTheme="minorEastAsia" w:cstheme="minorBidi"/>
      <w:kern w:val="2"/>
      <w:sz w:val="18"/>
      <w:szCs w:val="18"/>
    </w:rPr>
  </w:style>
  <w:style w:type="paragraph" w:customStyle="1" w:styleId="29">
    <w:name w:val="列出段落1"/>
    <w:basedOn w:val="1"/>
    <w:autoRedefine/>
    <w:qFormat/>
    <w:uiPriority w:val="99"/>
    <w:pPr>
      <w:ind w:firstLine="420" w:firstLineChars="200"/>
    </w:pPr>
    <w:rPr>
      <w:rFonts w:ascii="等线" w:hAnsi="等线" w:eastAsia="等线"/>
    </w:rPr>
  </w:style>
  <w:style w:type="table" w:customStyle="1" w:styleId="30">
    <w:name w:val="清单表 4 - 着色 11"/>
    <w:basedOn w:val="21"/>
    <w:autoRedefine/>
    <w:qFormat/>
    <w:uiPriority w:val="49"/>
    <w:tblPr>
      <w:tblBorders>
        <w:top w:val="single" w:color="91ABDF" w:sz="4" w:space="0"/>
        <w:left w:val="single" w:color="91ABDF" w:sz="4" w:space="0"/>
        <w:bottom w:val="single" w:color="91ABDF" w:sz="4" w:space="0"/>
        <w:right w:val="single" w:color="91ABDF" w:sz="4" w:space="0"/>
        <w:insideH w:val="single" w:color="91ABDF" w:sz="4" w:space="0"/>
      </w:tblBorders>
    </w:tblPr>
    <w:tblStylePr w:type="firstRow">
      <w:rPr>
        <w:b/>
        <w:bCs/>
        <w:color w:val="FFFFFF"/>
      </w:rPr>
      <w:tcPr>
        <w:tcBorders>
          <w:top w:val="single" w:color="4874CB" w:sz="4" w:space="0"/>
          <w:left w:val="single" w:color="4874CB" w:sz="4" w:space="0"/>
          <w:bottom w:val="single" w:color="4874CB" w:sz="4" w:space="0"/>
          <w:right w:val="single" w:color="4874CB" w:sz="4" w:space="0"/>
          <w:insideH w:val="nil"/>
          <w:insideV w:val="nil"/>
          <w:tl2br w:val="nil"/>
          <w:tr2bl w:val="nil"/>
        </w:tcBorders>
        <w:shd w:val="clear" w:color="auto" w:fill="4874CB"/>
      </w:tcPr>
    </w:tblStylePr>
    <w:tblStylePr w:type="lastRow">
      <w:rPr>
        <w:b/>
        <w:bCs/>
      </w:rPr>
      <w:tcPr>
        <w:tcBorders>
          <w:top w:val="double" w:color="91ABD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AE3F4"/>
      </w:tcPr>
    </w:tblStylePr>
    <w:tblStylePr w:type="band1Horz">
      <w:tcPr>
        <w:shd w:val="clear" w:color="auto" w:fill="DAE3F4"/>
      </w:tcPr>
    </w:tblStylePr>
  </w:style>
  <w:style w:type="table" w:customStyle="1" w:styleId="31">
    <w:name w:val="Table Normal"/>
    <w:basedOn w:val="21"/>
    <w:autoRedefine/>
    <w:qFormat/>
    <w:uiPriority w:val="0"/>
    <w:rPr>
      <w:rFonts w:ascii="Calibri" w:hAnsi="Calibri" w:eastAsia="Times New Roman"/>
    </w:rPr>
    <w:tblPr>
      <w:tblCellMar>
        <w:left w:w="0" w:type="dxa"/>
        <w:right w:w="0" w:type="dxa"/>
      </w:tblCellMar>
    </w:tblPr>
  </w:style>
  <w:style w:type="table" w:customStyle="1" w:styleId="32">
    <w:name w:val="Grid Table 4 Accent 1"/>
    <w:basedOn w:val="21"/>
    <w:autoRedefine/>
    <w:qFormat/>
    <w:uiPriority w:val="49"/>
    <w:tblPr>
      <w:tblBorders>
        <w:top w:val="single" w:color="91ABDF" w:themeColor="accent1" w:themeTint="99" w:sz="4" w:space="0"/>
        <w:left w:val="single" w:color="91ABDF" w:themeColor="accent1" w:themeTint="99" w:sz="4" w:space="0"/>
        <w:bottom w:val="single" w:color="91ABDF" w:themeColor="accent1" w:themeTint="99" w:sz="4" w:space="0"/>
        <w:right w:val="single" w:color="91ABDF" w:themeColor="accent1" w:themeTint="99" w:sz="4" w:space="0"/>
        <w:insideH w:val="single" w:color="91ABDF" w:themeColor="accent1" w:themeTint="99" w:sz="4" w:space="0"/>
        <w:insideV w:val="single" w:color="91ABDF" w:themeColor="accent1" w:themeTint="99" w:sz="4" w:space="0"/>
      </w:tblBorders>
    </w:tblPr>
    <w:tblStylePr w:type="firstRow">
      <w:rPr>
        <w:b/>
        <w:bCs/>
        <w:color w:val="CCE8CF" w:themeColor="background1"/>
        <w14:textFill>
          <w14:solidFill>
            <w14:schemeClr w14:val="bg1"/>
          </w14:solidFill>
        </w14:textFill>
      </w:rPr>
      <w:tcPr>
        <w:tcBorders>
          <w:top w:val="single" w:color="4874CB" w:themeColor="accent1" w:sz="4" w:space="0"/>
          <w:left w:val="single" w:color="4874CB" w:themeColor="accent1" w:sz="4" w:space="0"/>
          <w:bottom w:val="single" w:color="4874CB" w:themeColor="accent1" w:sz="4" w:space="0"/>
          <w:right w:val="single" w:color="4874CB" w:themeColor="accent1" w:sz="4" w:space="0"/>
          <w:insideH w:val="nil"/>
          <w:insideV w:val="nil"/>
        </w:tcBorders>
        <w:shd w:val="clear" w:color="auto" w:fill="4874CB" w:themeFill="accent1"/>
      </w:tcPr>
    </w:tblStylePr>
    <w:tblStylePr w:type="lastRow">
      <w:rPr>
        <w:b/>
        <w:bCs/>
      </w:rPr>
      <w:tcPr>
        <w:tcBorders>
          <w:top w:val="double" w:color="4874CB" w:themeColor="accent1" w:sz="4" w:space="0"/>
        </w:tcBorders>
      </w:tcPr>
    </w:tblStylePr>
    <w:tblStylePr w:type="firstCol">
      <w:rPr>
        <w:b/>
        <w:bCs/>
      </w:rPr>
    </w:tblStylePr>
    <w:tblStylePr w:type="lastCol">
      <w:rPr>
        <w:b/>
        <w:bCs/>
      </w:rPr>
    </w:tblStylePr>
    <w:tblStylePr w:type="band1Vert">
      <w:tcPr>
        <w:shd w:val="clear" w:color="auto" w:fill="DAE3F4" w:themeFill="accent1" w:themeFillTint="33"/>
      </w:tcPr>
    </w:tblStylePr>
    <w:tblStylePr w:type="band1Horz">
      <w:tcPr>
        <w:shd w:val="clear" w:color="auto" w:fill="DAE3F4" w:themeFill="accent1" w:themeFillTint="33"/>
      </w:tcPr>
    </w:tblStylePr>
  </w:style>
  <w:style w:type="table" w:customStyle="1" w:styleId="33">
    <w:name w:val="Grid Table 5 Dark Accent 1"/>
    <w:basedOn w:val="21"/>
    <w:autoRedefine/>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DAE3F4" w:themeFill="accent1"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4874CB" w:themeFill="accent1"/>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4874CB" w:themeFill="accent1"/>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4874CB" w:themeFill="accent1"/>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4874CB" w:themeFill="accent1"/>
      </w:tcPr>
    </w:tblStylePr>
    <w:tblStylePr w:type="band1Vert">
      <w:tcPr>
        <w:shd w:val="clear" w:color="auto" w:fill="B5C7EA" w:themeFill="accent1" w:themeFillTint="66"/>
      </w:tcPr>
    </w:tblStylePr>
    <w:tblStylePr w:type="band1Horz">
      <w:tcPr>
        <w:shd w:val="clear" w:color="auto" w:fill="B5C7EA" w:themeFill="accent1" w:themeFillTint="66"/>
      </w:tcPr>
    </w:tblStylePr>
  </w:style>
  <w:style w:type="table" w:customStyle="1" w:styleId="34">
    <w:name w:val="List Table 3 Accent 1"/>
    <w:basedOn w:val="21"/>
    <w:autoRedefine/>
    <w:qFormat/>
    <w:uiPriority w:val="48"/>
    <w:tblPr>
      <w:tblBorders>
        <w:top w:val="single" w:color="4874CB" w:themeColor="accent1" w:sz="4" w:space="0"/>
        <w:left w:val="single" w:color="4874CB" w:themeColor="accent1" w:sz="4" w:space="0"/>
        <w:bottom w:val="single" w:color="4874CB" w:themeColor="accent1" w:sz="4" w:space="0"/>
        <w:right w:val="single" w:color="4874CB" w:themeColor="accent1" w:sz="4" w:space="0"/>
      </w:tblBorders>
    </w:tblPr>
    <w:tblStylePr w:type="firstRow">
      <w:rPr>
        <w:b/>
        <w:bCs/>
        <w:color w:val="CCE8CF" w:themeColor="background1"/>
        <w14:textFill>
          <w14:solidFill>
            <w14:schemeClr w14:val="bg1"/>
          </w14:solidFill>
        </w14:textFill>
      </w:rPr>
      <w:tcPr>
        <w:shd w:val="clear" w:color="auto" w:fill="4874CB" w:themeFill="accent1"/>
      </w:tcPr>
    </w:tblStylePr>
    <w:tblStylePr w:type="lastRow">
      <w:rPr>
        <w:b/>
        <w:bCs/>
      </w:rPr>
      <w:tcPr>
        <w:tcBorders>
          <w:top w:val="double" w:color="4874CB" w:themeColor="accent1" w:sz="4" w:space="0"/>
        </w:tcBorders>
        <w:shd w:val="clear" w:color="auto" w:fill="CCE8CF" w:themeFill="background1"/>
      </w:tcPr>
    </w:tblStylePr>
    <w:tblStylePr w:type="firstCol">
      <w:rPr>
        <w:b/>
        <w:bCs/>
      </w:rPr>
      <w:tcPr>
        <w:tcBorders>
          <w:right w:val="nil"/>
        </w:tcBorders>
        <w:shd w:val="clear" w:color="auto" w:fill="CCE8CF" w:themeFill="background1"/>
      </w:tcPr>
    </w:tblStylePr>
    <w:tblStylePr w:type="lastCol">
      <w:rPr>
        <w:b/>
        <w:bCs/>
      </w:rPr>
      <w:tcPr>
        <w:tcBorders>
          <w:left w:val="nil"/>
        </w:tcBorders>
        <w:shd w:val="clear" w:color="auto" w:fill="CCE8CF" w:themeFill="background1"/>
      </w:tcPr>
    </w:tblStylePr>
    <w:tblStylePr w:type="band1Vert">
      <w:tcPr>
        <w:tcBorders>
          <w:left w:val="single" w:color="4874CB" w:themeColor="accent1" w:sz="4" w:space="0"/>
          <w:right w:val="single" w:color="4874CB" w:themeColor="accent1" w:sz="4" w:space="0"/>
        </w:tcBorders>
      </w:tcPr>
    </w:tblStylePr>
    <w:tblStylePr w:type="band1Horz">
      <w:tcPr>
        <w:tcBorders>
          <w:top w:val="single" w:color="4874CB" w:themeColor="accent1" w:sz="4" w:space="0"/>
          <w:bottom w:val="single" w:color="4874CB"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874CB" w:themeColor="accent1" w:sz="4" w:space="0"/>
          <w:left w:val="nil"/>
        </w:tcBorders>
      </w:tcPr>
    </w:tblStylePr>
    <w:tblStylePr w:type="swCell">
      <w:tcPr>
        <w:tcBorders>
          <w:top w:val="double" w:color="4874CB" w:themeColor="accent1" w:sz="4" w:space="0"/>
          <w:right w:val="nil"/>
        </w:tcBorders>
      </w:tcPr>
    </w:tblStylePr>
  </w:style>
  <w:style w:type="table" w:customStyle="1" w:styleId="35">
    <w:name w:val="List Table 4 Accent 1"/>
    <w:basedOn w:val="21"/>
    <w:autoRedefine/>
    <w:qFormat/>
    <w:uiPriority w:val="49"/>
    <w:tblPr>
      <w:tblBorders>
        <w:top w:val="single" w:color="91ABDF" w:themeColor="accent1" w:themeTint="99" w:sz="4" w:space="0"/>
        <w:left w:val="single" w:color="91ABDF" w:themeColor="accent1" w:themeTint="99" w:sz="4" w:space="0"/>
        <w:bottom w:val="single" w:color="91ABDF" w:themeColor="accent1" w:themeTint="99" w:sz="4" w:space="0"/>
        <w:right w:val="single" w:color="91ABDF" w:themeColor="accent1" w:themeTint="99" w:sz="4" w:space="0"/>
        <w:insideH w:val="single" w:color="91ABDF" w:themeColor="accent1" w:themeTint="99" w:sz="4" w:space="0"/>
      </w:tblBorders>
    </w:tblPr>
    <w:tblStylePr w:type="firstRow">
      <w:rPr>
        <w:b/>
        <w:bCs/>
        <w:color w:val="CCE8CF" w:themeColor="background1"/>
        <w14:textFill>
          <w14:solidFill>
            <w14:schemeClr w14:val="bg1"/>
          </w14:solidFill>
        </w14:textFill>
      </w:rPr>
      <w:tcPr>
        <w:tcBorders>
          <w:top w:val="single" w:color="4874CB" w:themeColor="accent1" w:sz="4" w:space="0"/>
          <w:left w:val="single" w:color="4874CB" w:themeColor="accent1" w:sz="4" w:space="0"/>
          <w:bottom w:val="single" w:color="4874CB" w:themeColor="accent1" w:sz="4" w:space="0"/>
          <w:right w:val="single" w:color="4874CB" w:themeColor="accent1" w:sz="4" w:space="0"/>
          <w:insideH w:val="nil"/>
        </w:tcBorders>
        <w:shd w:val="clear" w:color="auto" w:fill="4874CB" w:themeFill="accent1"/>
      </w:tcPr>
    </w:tblStylePr>
    <w:tblStylePr w:type="lastRow">
      <w:rPr>
        <w:b/>
        <w:bCs/>
      </w:rPr>
      <w:tcPr>
        <w:tcBorders>
          <w:top w:val="double" w:color="91ABDF" w:themeColor="accent1" w:themeTint="99" w:sz="4" w:space="0"/>
        </w:tcBorders>
      </w:tcPr>
    </w:tblStylePr>
    <w:tblStylePr w:type="firstCol">
      <w:rPr>
        <w:b/>
        <w:bCs/>
      </w:rPr>
    </w:tblStylePr>
    <w:tblStylePr w:type="lastCol">
      <w:rPr>
        <w:b/>
        <w:bCs/>
      </w:rPr>
    </w:tblStylePr>
    <w:tblStylePr w:type="band1Vert">
      <w:tcPr>
        <w:shd w:val="clear" w:color="auto" w:fill="DAE3F4" w:themeFill="accent1" w:themeFillTint="33"/>
      </w:tcPr>
    </w:tblStylePr>
    <w:tblStylePr w:type="band1Horz">
      <w:tcPr>
        <w:shd w:val="clear" w:color="auto" w:fill="DAE3F4" w:themeFill="accent1" w:themeFillTint="33"/>
      </w:tcPr>
    </w:tblStylePr>
  </w:style>
  <w:style w:type="paragraph" w:customStyle="1" w:styleId="36">
    <w:name w:val="Table Text"/>
    <w:basedOn w:val="1"/>
    <w:semiHidden/>
    <w:qFormat/>
    <w:uiPriority w:val="0"/>
    <w:rPr>
      <w:rFonts w:ascii="华文细黑" w:hAnsi="华文细黑" w:eastAsia="华文细黑" w:cs="华文细黑"/>
      <w:sz w:val="16"/>
      <w:szCs w:val="16"/>
      <w:lang w:val="en-US" w:eastAsia="en-US" w:bidi="ar-SA"/>
    </w:rPr>
  </w:style>
  <w:style w:type="table" w:customStyle="1" w:styleId="37">
    <w:name w:val="网格表 4 - 着色 11"/>
    <w:basedOn w:val="21"/>
    <w:autoRedefine/>
    <w:qFormat/>
    <w:uiPriority w:val="49"/>
    <w:rPr>
      <w:rFonts w:ascii="Times New Roman" w:hAnsi="Times New Roman" w:eastAsia="宋体" w:cs="Times New Roman"/>
      <w:kern w:val="0"/>
      <w:sz w:val="20"/>
      <w:szCs w:val="20"/>
    </w:rPr>
    <w:tblPr>
      <w:tblBorders>
        <w:top w:val="single" w:color="91ABDF" w:themeColor="accent1" w:themeTint="99" w:sz="4" w:space="0"/>
        <w:left w:val="single" w:color="91ABDF" w:themeColor="accent1" w:themeTint="99" w:sz="4" w:space="0"/>
        <w:bottom w:val="single" w:color="91ABDF" w:themeColor="accent1" w:themeTint="99" w:sz="4" w:space="0"/>
        <w:right w:val="single" w:color="91ABDF" w:themeColor="accent1" w:themeTint="99" w:sz="4" w:space="0"/>
        <w:insideH w:val="single" w:color="91ABDF" w:themeColor="accent1" w:themeTint="99" w:sz="4" w:space="0"/>
        <w:insideV w:val="single" w:color="91ABDF" w:themeColor="accent1" w:themeTint="99" w:sz="4" w:space="0"/>
      </w:tblBorders>
    </w:tblPr>
    <w:tblStylePr w:type="firstRow">
      <w:rPr>
        <w:b/>
        <w:bCs/>
        <w:color w:val="CCE8CF" w:themeColor="background1"/>
        <w14:textFill>
          <w14:solidFill>
            <w14:schemeClr w14:val="bg1"/>
          </w14:solidFill>
        </w14:textFill>
      </w:rPr>
      <w:tcPr>
        <w:tcBorders>
          <w:top w:val="single" w:color="4874CB" w:themeColor="accent1" w:sz="4" w:space="0"/>
          <w:left w:val="single" w:color="4874CB" w:themeColor="accent1" w:sz="4" w:space="0"/>
          <w:bottom w:val="single" w:color="4874CB" w:themeColor="accent1" w:sz="4" w:space="0"/>
          <w:right w:val="single" w:color="4874CB" w:themeColor="accent1" w:sz="4" w:space="0"/>
          <w:insideH w:val="nil"/>
          <w:insideV w:val="nil"/>
        </w:tcBorders>
        <w:shd w:val="clear" w:color="auto" w:fill="4874CB" w:themeFill="accent1"/>
      </w:tcPr>
    </w:tblStylePr>
    <w:tblStylePr w:type="lastRow">
      <w:rPr>
        <w:b/>
        <w:bCs/>
      </w:rPr>
      <w:tcPr>
        <w:tcBorders>
          <w:top w:val="double" w:color="4874CB" w:themeColor="accent1" w:sz="4" w:space="0"/>
        </w:tcBorders>
      </w:tcPr>
    </w:tblStylePr>
    <w:tblStylePr w:type="firstCol">
      <w:rPr>
        <w:b/>
        <w:bCs/>
      </w:rPr>
    </w:tblStylePr>
    <w:tblStylePr w:type="lastCol">
      <w:rPr>
        <w:b/>
        <w:bCs/>
      </w:rPr>
    </w:tblStylePr>
    <w:tblStylePr w:type="band1Vert">
      <w:tcPr>
        <w:shd w:val="clear" w:color="auto" w:fill="DAE3F4" w:themeFill="accent1" w:themeFillTint="33"/>
      </w:tcPr>
    </w:tblStylePr>
    <w:tblStylePr w:type="band1Horz">
      <w:tcPr>
        <w:shd w:val="clear" w:color="auto" w:fill="DAE3F4" w:themeFill="accent1" w:themeFillTint="33"/>
      </w:tcPr>
    </w:tblStylePr>
  </w:style>
  <w:style w:type="paragraph" w:customStyle="1" w:styleId="38">
    <w:name w:val="表1"/>
    <w:basedOn w:val="1"/>
    <w:link w:val="39"/>
    <w:qFormat/>
    <w:uiPriority w:val="0"/>
    <w:pPr>
      <w:spacing w:line="600" w:lineRule="exact"/>
      <w:jc w:val="center"/>
    </w:pPr>
    <w:rPr>
      <w:rFonts w:hint="eastAsia" w:ascii="仿宋" w:hAnsi="仿宋" w:eastAsia="仿宋" w:cs="仿宋"/>
      <w:b/>
      <w:bCs/>
      <w:color w:val="auto"/>
      <w:sz w:val="30"/>
      <w:szCs w:val="30"/>
    </w:rPr>
  </w:style>
  <w:style w:type="character" w:customStyle="1" w:styleId="39">
    <w:name w:val="表1 Char"/>
    <w:link w:val="38"/>
    <w:qFormat/>
    <w:uiPriority w:val="0"/>
    <w:rPr>
      <w:rFonts w:hint="eastAsia" w:ascii="仿宋" w:hAnsi="仿宋" w:eastAsia="仿宋" w:cs="仿宋"/>
      <w:b/>
      <w:bCs/>
      <w:color w:val="auto"/>
      <w:sz w:val="30"/>
      <w:szCs w:val="30"/>
    </w:rPr>
  </w:style>
  <w:style w:type="paragraph" w:customStyle="1" w:styleId="40">
    <w:name w:val="附表"/>
    <w:basedOn w:val="1"/>
    <w:qFormat/>
    <w:uiPriority w:val="0"/>
    <w:pPr>
      <w:widowControl/>
      <w:kinsoku w:val="0"/>
      <w:autoSpaceDE w:val="0"/>
      <w:autoSpaceDN w:val="0"/>
      <w:adjustRightInd w:val="0"/>
      <w:snapToGrid w:val="0"/>
      <w:spacing w:line="360" w:lineRule="auto"/>
      <w:ind w:firstLine="655" w:firstLineChars="200"/>
      <w:jc w:val="center"/>
      <w:textAlignment w:val="baseline"/>
      <w:outlineLvl w:val="0"/>
    </w:pPr>
    <w:rPr>
      <w:rFonts w:hint="eastAsia" w:ascii="Times New Roman" w:hAnsi="Times New Roman" w:eastAsia="方正仿宋_GBK"/>
      <w:b/>
      <w:bCs/>
      <w:color w:val="auto"/>
      <w:spacing w:val="3"/>
      <w:kern w:val="0"/>
      <w:sz w:val="32"/>
      <w:szCs w:val="32"/>
    </w:rPr>
  </w:style>
  <w:style w:type="paragraph" w:customStyle="1" w:styleId="41">
    <w:name w:val="案例"/>
    <w:basedOn w:val="1"/>
    <w:link w:val="42"/>
    <w:qFormat/>
    <w:uiPriority w:val="0"/>
    <w:pPr>
      <w:spacing w:line="600" w:lineRule="exact"/>
      <w:jc w:val="center"/>
    </w:pPr>
    <w:rPr>
      <w:rFonts w:hint="eastAsia" w:ascii="Times New Roman" w:hAnsi="Times New Roman" w:eastAsia="方正小标宋_GBK" w:cs="Times New Roman"/>
      <w:bCs/>
      <w:color w:val="auto"/>
      <w:kern w:val="44"/>
      <w:sz w:val="44"/>
      <w:szCs w:val="44"/>
      <w:shd w:val="clear" w:color="auto" w:fill="FFFFFF"/>
    </w:rPr>
  </w:style>
  <w:style w:type="character" w:customStyle="1" w:styleId="42">
    <w:name w:val="案例 Char"/>
    <w:link w:val="41"/>
    <w:qFormat/>
    <w:uiPriority w:val="0"/>
    <w:rPr>
      <w:rFonts w:hint="eastAsia" w:ascii="Times New Roman" w:hAnsi="Times New Roman" w:eastAsia="方正小标宋_GBK" w:cs="Times New Roman"/>
      <w:bCs/>
      <w:color w:val="auto"/>
      <w:kern w:val="44"/>
      <w:sz w:val="44"/>
      <w:szCs w:val="44"/>
      <w:shd w:val="clear" w:color="auto" w:fill="FFFFFF"/>
    </w:rPr>
  </w:style>
  <w:style w:type="character" w:customStyle="1" w:styleId="43">
    <w:name w:val="目录 1 Char"/>
    <w:link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cqjw</Company>
  <Pages>175</Pages>
  <Words>280</Words>
  <Characters>315</Characters>
  <Lines>349</Lines>
  <Paragraphs>98</Paragraphs>
  <TotalTime>5</TotalTime>
  <ScaleCrop>false</ScaleCrop>
  <LinksUpToDate>false</LinksUpToDate>
  <CharactersWithSpaces>315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2023-11-23T07:42:00Z</dcterms:created>
  <dc:creator>Administrator</dc:creator>
  <cp:lastModifiedBy>韩笑</cp:lastModifiedBy>
  <cp:lastPrinted>2024-01-11T16:54:00Z</cp:lastPrinted>
  <dcterms:modified xsi:type="dcterms:W3CDTF">2025-05-22T03:01:08Z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C06C9320810F4DDE8D5A3287CC59E3F6_13</vt:lpwstr>
  </property>
  <property fmtid="{D5CDD505-2E9C-101B-9397-08002B2CF9AE}" pid="4" name="KSOTemplateDocerSaveRecord">
    <vt:lpwstr>eyJoZGlkIjoiMGI1YTlhZGI4YzI1ZmFiNmEzMDY3MDg2NWNkNGFkYTIiLCJ1c2VySWQiOiIzMDgyNzQzNjQifQ==</vt:lpwstr>
  </property>
</Properties>
</file>