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F0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469" w:afterLines="150" w:line="360" w:lineRule="auto"/>
        <w:jc w:val="center"/>
        <w:textAlignment w:val="auto"/>
        <w:rPr>
          <w:rFonts w:hint="eastAsia" w:ascii="方正粗黑宋简体" w:hAnsi="方正粗黑宋简体" w:eastAsia="方正粗黑宋简体" w:cs="方正粗黑宋简体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</w:pPr>
      <w:r>
        <w:rPr>
          <w:rFonts w:hint="eastAsia" w:ascii="方正粗黑宋简体" w:hAnsi="方正粗黑宋简体" w:eastAsia="方正粗黑宋简体" w:cs="方正粗黑宋简体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《重庆市南岸区殡葬设施专项规划（2026—2035年）（公示稿）》</w:t>
      </w:r>
    </w:p>
    <w:p w14:paraId="3FB4346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规划背景</w:t>
      </w:r>
    </w:p>
    <w:p w14:paraId="42697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36"/>
          <w:lang w:val="en-US" w:eastAsia="zh-CN"/>
        </w:rPr>
        <w:t>为深入贯彻落实国家及重庆市关于殡葬改革与管理的系列决策部署，加快健全南岸区殡葬服务体系，优化殡葬设施空间布局，提升基本殡葬服务均等化水平与保障能力，推动殡葬事业健康有序发展，依据《重庆市民政局关于开展〈重庆市殡葬设施专项规划（2026—2035）〉及区县专项规划编制工作的通知》（渝民〔2025〕136号）和《重庆市民政局关于印发〈区县殡葬设施专项规划编制指引（试行）〉的通知》（渝民〔2025〕165号）等文件要求，特编制《重庆市南岸区殡葬设施专项规划（2026—2035年）》（以下简称《规划》）。通过科学编制规划，明确管控要求，强化殡葬管理，为南岸区殡葬设施的近期建设和长远发展提供系统引领与科学指导。</w:t>
      </w:r>
    </w:p>
    <w:p w14:paraId="0DA162F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1" w:name="_GoBack"/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规划范围</w:t>
      </w:r>
    </w:p>
    <w:bookmarkEnd w:id="1"/>
    <w:p w14:paraId="555FD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36"/>
          <w:lang w:val="en-US" w:eastAsia="zh-CN"/>
        </w:rPr>
        <w:t>本规划范围为南岸区行政辖区，总面积262.41平方公里。下辖8个街道、7个镇，包含105个社区、45个行政村。</w:t>
      </w:r>
    </w:p>
    <w:p w14:paraId="3CE403C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规划期限</w:t>
      </w:r>
    </w:p>
    <w:p w14:paraId="53E72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36"/>
          <w:lang w:val="en-US" w:eastAsia="zh-CN"/>
        </w:rPr>
        <w:t>规划期限为2026-2035年。规划基期年为2026年，目标年与《重庆市国土空间总体规划（2021-2035年）》及《重庆市南岸区国土空间分区规划（2021-2035年）》保持一致。其中：</w:t>
      </w:r>
    </w:p>
    <w:p w14:paraId="23467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36"/>
          <w:lang w:val="en-US" w:eastAsia="zh-CN"/>
        </w:rPr>
        <w:t>近期建设安排为2026-2027年，与《重庆市规范公益性安葬设施建设管理三年行动方案（2025-2027年）》（渝民〔2025〕157号）相衔接；中期建设安排为2028-2030年，与殡葬事业“十五五”发展规划相衔接。</w:t>
      </w:r>
    </w:p>
    <w:p w14:paraId="2A52F08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规划对象</w:t>
      </w:r>
    </w:p>
    <w:p w14:paraId="71C6C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36"/>
          <w:lang w:val="en-US" w:eastAsia="zh-CN"/>
        </w:rPr>
      </w:pPr>
      <w:bookmarkStart w:id="0" w:name="_Hlk38018002"/>
      <w:r>
        <w:rPr>
          <w:rFonts w:hint="default" w:ascii="Times New Roman" w:hAnsi="Times New Roman" w:eastAsia="方正仿宋_GBK" w:cs="Times New Roman"/>
          <w:sz w:val="28"/>
          <w:szCs w:val="36"/>
          <w:lang w:val="en-US" w:eastAsia="zh-CN"/>
        </w:rPr>
        <w:t>规划对象为殡葬设施体系中“殡仪服务设施”和“安葬服务设施”两大类。其中：</w:t>
      </w:r>
    </w:p>
    <w:p w14:paraId="5102E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36"/>
          <w:lang w:val="en-US" w:eastAsia="zh-CN"/>
        </w:rPr>
        <w:t>殡仪服务设施包括殡仪馆和殡仪服务网点。殡仪馆指提供遗体接运、存放、火化、防腐、整容、悼念和骨灰寄存等活动的设施；殡仪服务网点指提供遗体处置、悼念、守灵等殡仪服务活动的场所。</w:t>
      </w:r>
    </w:p>
    <w:p w14:paraId="1E093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36"/>
          <w:lang w:val="en-US" w:eastAsia="zh-CN"/>
        </w:rPr>
        <w:t>安葬服务设施包括公墓、骨灰堂和农村公益性墓地。公墓指为城乡居民提供安葬骨灰或者遗体服务的殡葬设施，分为城镇公益性公墓和经营性公墓，其中城镇公益性公墓分为城市公益性公墓和乡镇公益性公墓；骨灰堂指以堂、楼、塔、阁等建筑形式，为逝者提供骨灰格位安葬服务的殡葬设施；农村公益性墓地指为本村集体组织成员埋葬骨灰或遗体的殡葬设施。</w:t>
      </w:r>
    </w:p>
    <w:bookmarkEnd w:id="0"/>
    <w:p w14:paraId="45B7FCC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规划内容</w:t>
      </w:r>
    </w:p>
    <w:p w14:paraId="7EEC093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62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人口预测</w:t>
      </w:r>
    </w:p>
    <w:p w14:paraId="76046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default" w:ascii="Times New Roman" w:hAnsi="Times New Roman" w:eastAsia="方正仿宋_GBK" w:cs="Times New Roman"/>
          <w:b/>
          <w:bCs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28"/>
          <w:szCs w:val="36"/>
          <w:lang w:val="en-US" w:eastAsia="zh-CN"/>
        </w:rPr>
        <w:t>常住人口及城镇化水平预测：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  <w:t>预测至2035年末，南岸区常住人口约为123-130万人，城镇化率预计达97.50%，城镇人口约为120-126.8万人。</w:t>
      </w:r>
    </w:p>
    <w:p w14:paraId="43BA2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default" w:ascii="Times New Roman" w:hAnsi="Times New Roman" w:eastAsia="方正仿宋_GBK" w:cs="Times New Roman"/>
          <w:b/>
          <w:bCs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28"/>
          <w:szCs w:val="36"/>
          <w:lang w:val="en-US" w:eastAsia="zh-CN"/>
        </w:rPr>
        <w:t>户籍人口预测：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  <w:t>预测至2035年末，南岸区户籍人口80.79万人，其中城镇户籍人口78.73万人，农村户籍人口2.06万人。</w:t>
      </w:r>
    </w:p>
    <w:p w14:paraId="1B9CA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28"/>
          <w:szCs w:val="36"/>
          <w:lang w:val="en-US" w:eastAsia="zh-CN"/>
        </w:rPr>
        <w:t>死亡人口预测：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  <w:t>预测至2035年末，南岸区累计死亡户籍人口约6.54万人，其中城镇累计死亡人口6.31万人，农村累计死亡人口0.23万人。</w:t>
      </w:r>
    </w:p>
    <w:p w14:paraId="23E583F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62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殡仪设施规划</w:t>
      </w:r>
    </w:p>
    <w:p w14:paraId="21FCD18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62" w:firstLineChars="200"/>
        <w:textAlignment w:val="auto"/>
        <w:rPr>
          <w:rFonts w:hint="default" w:ascii="Times New Roman" w:hAnsi="Times New Roman" w:eastAsia="方正仿宋_GBK" w:cs="Times New Roman"/>
          <w:b/>
          <w:bCs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28"/>
          <w:szCs w:val="36"/>
          <w:lang w:val="en-US" w:eastAsia="zh-CN"/>
        </w:rPr>
        <w:t>殡仪馆</w:t>
      </w:r>
    </w:p>
    <w:p w14:paraId="4EA72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  <w:t>规划扩建江南殡仪馆（含治丧中心）。扩建后，总用地面积约8.23公顷，配置火化炉12台（其中现状保留10台，新增2台），设悼念厅30间（其中现状保留17间，新增13间）。</w:t>
      </w:r>
    </w:p>
    <w:p w14:paraId="6E77B44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62" w:firstLineChars="200"/>
        <w:textAlignment w:val="auto"/>
        <w:rPr>
          <w:rFonts w:hint="default" w:ascii="Times New Roman" w:hAnsi="Times New Roman" w:eastAsia="方正仿宋_GBK" w:cs="Times New Roman"/>
          <w:b/>
          <w:bCs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28"/>
          <w:szCs w:val="36"/>
          <w:lang w:val="en-US" w:eastAsia="zh-CN"/>
        </w:rPr>
        <w:t>殡仪服务网点</w:t>
      </w:r>
    </w:p>
    <w:p w14:paraId="29E3A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  <w:t>规划设置殡仪服务网点3处，共设悼念厅27间。其中：</w:t>
      </w:r>
    </w:p>
    <w:p w14:paraId="0F97D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  <w:t>保留莲花堂殡仪服务网点（原莲花堂殡仪服务站），设悼念厅13间；保留茶园殡仪服务网点（原茶园殡仪服务站），设悼念厅9间；新建明月沱殡仪服务网点，设悼念厅5间。</w:t>
      </w:r>
    </w:p>
    <w:p w14:paraId="38FD81C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62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安葬设施规划</w:t>
      </w:r>
    </w:p>
    <w:p w14:paraId="6932E63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62" w:firstLineChars="200"/>
        <w:textAlignment w:val="auto"/>
        <w:rPr>
          <w:rFonts w:hint="default" w:ascii="Times New Roman" w:hAnsi="Times New Roman" w:eastAsia="方正仿宋_GBK" w:cs="Times New Roman"/>
          <w:b/>
          <w:bCs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28"/>
          <w:szCs w:val="36"/>
          <w:lang w:val="en-US" w:eastAsia="zh-CN"/>
        </w:rPr>
        <w:t>公墓</w:t>
      </w:r>
    </w:p>
    <w:p w14:paraId="6B882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28"/>
          <w:szCs w:val="36"/>
          <w:lang w:val="en-US" w:eastAsia="zh-CN"/>
        </w:rPr>
        <w:t>城市公益性公墓：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  <w:t>规划新建南岸区城市公益性公墓1处。</w:t>
      </w:r>
    </w:p>
    <w:p w14:paraId="1608A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28"/>
          <w:szCs w:val="36"/>
          <w:lang w:val="en-US" w:eastAsia="zh-CN"/>
        </w:rPr>
        <w:t>乡镇公益性公墓：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  <w:t>规划设置乡镇公益性公墓2处。其中，保留现状洪家坡公墓1处，不再实施扩建；规划扩建明月陵园1处，在南岸区城市公益性公墓建成投用前，代行城市公益性公墓功能。</w:t>
      </w:r>
    </w:p>
    <w:p w14:paraId="50E9E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28"/>
          <w:szCs w:val="36"/>
          <w:lang w:val="en-US" w:eastAsia="zh-CN"/>
        </w:rPr>
        <w:t>经营性公墓：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  <w:t>规划保留江南殡仪馆公墓、江南殡仪馆南山福座、涂山公墓、莲花公墓、观音山陵园、南山龙园公墓、灵安陵园等7处经营性公墓，不再实施扩建。</w:t>
      </w:r>
    </w:p>
    <w:p w14:paraId="327DDEA0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62" w:firstLineChars="200"/>
        <w:textAlignment w:val="auto"/>
        <w:rPr>
          <w:rFonts w:hint="default" w:ascii="Times New Roman" w:hAnsi="Times New Roman" w:eastAsia="方正仿宋_GBK" w:cs="Times New Roman"/>
          <w:b/>
          <w:bCs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28"/>
          <w:szCs w:val="36"/>
          <w:lang w:val="en-US" w:eastAsia="zh-CN"/>
        </w:rPr>
        <w:t>骨灰堂</w:t>
      </w:r>
    </w:p>
    <w:p w14:paraId="5C6FA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  <w:t>规划新建南岸区骨灰堂1处。</w:t>
      </w:r>
    </w:p>
    <w:p w14:paraId="35DED26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62" w:firstLineChars="200"/>
        <w:textAlignment w:val="auto"/>
        <w:rPr>
          <w:rFonts w:hint="default" w:ascii="Times New Roman" w:hAnsi="Times New Roman" w:eastAsia="方正仿宋_GBK" w:cs="Times New Roman"/>
          <w:b/>
          <w:bCs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28"/>
          <w:szCs w:val="36"/>
          <w:lang w:val="en-US" w:eastAsia="zh-CN"/>
        </w:rPr>
        <w:t>农村公益性墓地</w:t>
      </w:r>
    </w:p>
    <w:p w14:paraId="0C49A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  <w:t>规划新建农村公益性墓地43处</w:t>
      </w:r>
      <w:r>
        <w:rPr>
          <w:rFonts w:hint="eastAsia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  <w:t>（含项目清单管理23处）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  <w:t>，主要为城镇公益性公墓难以覆盖的农村地区提供安葬服务。</w:t>
      </w:r>
    </w:p>
    <w:p w14:paraId="332DA25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62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规划附图（详见后文）</w:t>
      </w:r>
    </w:p>
    <w:p w14:paraId="7C3A9A92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62" w:firstLineChars="200"/>
        <w:textAlignment w:val="auto"/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殡仪服务设施规划图</w:t>
      </w:r>
    </w:p>
    <w:p w14:paraId="1DCF79F7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562" w:firstLineChars="200"/>
        <w:textAlignment w:val="auto"/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安葬服务设施规划图</w:t>
      </w:r>
    </w:p>
    <w:p w14:paraId="7E2EF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</w:pPr>
    </w:p>
    <w:p w14:paraId="28F01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FE6B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  <w:drawing>
          <wp:inline distT="0" distB="0" distL="114300" distR="114300">
            <wp:extent cx="12941300" cy="9157335"/>
            <wp:effectExtent l="0" t="0" r="12700" b="1905"/>
            <wp:docPr id="1" name="图片 1" descr="05 殡仪服务设施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5 殡仪服务设施规划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941300" cy="915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0A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36"/>
          <w:lang w:val="en-US" w:eastAsia="zh-CN"/>
        </w:rPr>
        <w:drawing>
          <wp:inline distT="0" distB="0" distL="114300" distR="114300">
            <wp:extent cx="13074650" cy="9251315"/>
            <wp:effectExtent l="0" t="0" r="1270" b="14605"/>
            <wp:docPr id="2" name="图片 2" descr="06 安葬服务设施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6 安葬服务设施规划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74650" cy="925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23811" w:h="16838" w:orient="landscape"/>
      <w:pgMar w:top="1134" w:right="1440" w:bottom="1134" w:left="13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粗黑宋简体">
    <w:altName w:val="方正书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12873E"/>
    <w:multiLevelType w:val="singleLevel"/>
    <w:tmpl w:val="CB12873E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3166250A"/>
    <w:multiLevelType w:val="singleLevel"/>
    <w:tmpl w:val="3166250A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34036B37"/>
    <w:multiLevelType w:val="singleLevel"/>
    <w:tmpl w:val="34036B37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3">
    <w:nsid w:val="41949CFB"/>
    <w:multiLevelType w:val="singleLevel"/>
    <w:tmpl w:val="41949CFB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">
    <w:nsid w:val="52B940CA"/>
    <w:multiLevelType w:val="singleLevel"/>
    <w:tmpl w:val="52B940C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7509CD"/>
    <w:rsid w:val="006C755B"/>
    <w:rsid w:val="00EF5BA2"/>
    <w:rsid w:val="023E4D58"/>
    <w:rsid w:val="02912EF9"/>
    <w:rsid w:val="03B46C2F"/>
    <w:rsid w:val="052A53FB"/>
    <w:rsid w:val="05DF2BCC"/>
    <w:rsid w:val="05F11A75"/>
    <w:rsid w:val="06BA60EE"/>
    <w:rsid w:val="06FA704F"/>
    <w:rsid w:val="09A20F25"/>
    <w:rsid w:val="09D46B2C"/>
    <w:rsid w:val="0B2C587F"/>
    <w:rsid w:val="0BCF0AAA"/>
    <w:rsid w:val="0BFD69CD"/>
    <w:rsid w:val="0D4E23AE"/>
    <w:rsid w:val="0EAA23DC"/>
    <w:rsid w:val="0F096A02"/>
    <w:rsid w:val="12F96D14"/>
    <w:rsid w:val="13DD33A3"/>
    <w:rsid w:val="13FB1AF3"/>
    <w:rsid w:val="14BA587A"/>
    <w:rsid w:val="151F3B9D"/>
    <w:rsid w:val="1522346D"/>
    <w:rsid w:val="157B3EF3"/>
    <w:rsid w:val="15DC0E1A"/>
    <w:rsid w:val="161F46F7"/>
    <w:rsid w:val="16E11DEE"/>
    <w:rsid w:val="1747279F"/>
    <w:rsid w:val="17C8491B"/>
    <w:rsid w:val="18E047AA"/>
    <w:rsid w:val="196B6DCA"/>
    <w:rsid w:val="1A304E0A"/>
    <w:rsid w:val="1B050A90"/>
    <w:rsid w:val="1B0C206B"/>
    <w:rsid w:val="1D8F0099"/>
    <w:rsid w:val="1DCF66E8"/>
    <w:rsid w:val="1E917E41"/>
    <w:rsid w:val="1EF94DB7"/>
    <w:rsid w:val="1F8A45CD"/>
    <w:rsid w:val="21452025"/>
    <w:rsid w:val="2146311A"/>
    <w:rsid w:val="21D54F6B"/>
    <w:rsid w:val="22915360"/>
    <w:rsid w:val="260B5414"/>
    <w:rsid w:val="289D3BDA"/>
    <w:rsid w:val="28B947AF"/>
    <w:rsid w:val="29446A6E"/>
    <w:rsid w:val="29713B4C"/>
    <w:rsid w:val="29A36CCE"/>
    <w:rsid w:val="2A3049B2"/>
    <w:rsid w:val="2C8C3FE4"/>
    <w:rsid w:val="2C975FB1"/>
    <w:rsid w:val="2CEE645F"/>
    <w:rsid w:val="2F1228D8"/>
    <w:rsid w:val="2F72512F"/>
    <w:rsid w:val="2FAE4510"/>
    <w:rsid w:val="30647C28"/>
    <w:rsid w:val="30847806"/>
    <w:rsid w:val="30890C03"/>
    <w:rsid w:val="30F82D41"/>
    <w:rsid w:val="3115220C"/>
    <w:rsid w:val="312828CC"/>
    <w:rsid w:val="320A3D3B"/>
    <w:rsid w:val="332B3F69"/>
    <w:rsid w:val="333317F9"/>
    <w:rsid w:val="33801AA9"/>
    <w:rsid w:val="33D94674"/>
    <w:rsid w:val="340A0022"/>
    <w:rsid w:val="34230A4E"/>
    <w:rsid w:val="34B13142"/>
    <w:rsid w:val="356B1211"/>
    <w:rsid w:val="35B27E84"/>
    <w:rsid w:val="360D6C2E"/>
    <w:rsid w:val="37690121"/>
    <w:rsid w:val="37F17633"/>
    <w:rsid w:val="389B5548"/>
    <w:rsid w:val="39CF6ED4"/>
    <w:rsid w:val="3C8F37BA"/>
    <w:rsid w:val="3D0C4818"/>
    <w:rsid w:val="3DEA67CE"/>
    <w:rsid w:val="3E2241BA"/>
    <w:rsid w:val="3E382184"/>
    <w:rsid w:val="3E74194F"/>
    <w:rsid w:val="40B02584"/>
    <w:rsid w:val="40C761D4"/>
    <w:rsid w:val="418A7025"/>
    <w:rsid w:val="43A03F06"/>
    <w:rsid w:val="43C5441F"/>
    <w:rsid w:val="44CB7BFF"/>
    <w:rsid w:val="45BC3962"/>
    <w:rsid w:val="47CC70BF"/>
    <w:rsid w:val="487509CD"/>
    <w:rsid w:val="48AC6FE8"/>
    <w:rsid w:val="492A771E"/>
    <w:rsid w:val="497D09F5"/>
    <w:rsid w:val="49B77EAC"/>
    <w:rsid w:val="4A8D3428"/>
    <w:rsid w:val="4F675E6D"/>
    <w:rsid w:val="50646C06"/>
    <w:rsid w:val="51C8534D"/>
    <w:rsid w:val="532C7968"/>
    <w:rsid w:val="54455546"/>
    <w:rsid w:val="56DA600B"/>
    <w:rsid w:val="57065D6A"/>
    <w:rsid w:val="5829094C"/>
    <w:rsid w:val="58391929"/>
    <w:rsid w:val="58D2085F"/>
    <w:rsid w:val="592A1DF8"/>
    <w:rsid w:val="59934492"/>
    <w:rsid w:val="59E64147"/>
    <w:rsid w:val="5B3A6B8F"/>
    <w:rsid w:val="5B4439D8"/>
    <w:rsid w:val="5D080CF3"/>
    <w:rsid w:val="5E1D07CE"/>
    <w:rsid w:val="5E5861DD"/>
    <w:rsid w:val="5ED10E5A"/>
    <w:rsid w:val="5EFCACD9"/>
    <w:rsid w:val="5F0454EA"/>
    <w:rsid w:val="5F5A7800"/>
    <w:rsid w:val="5F64242D"/>
    <w:rsid w:val="60341DFF"/>
    <w:rsid w:val="60A5612E"/>
    <w:rsid w:val="61335458"/>
    <w:rsid w:val="61D94A0C"/>
    <w:rsid w:val="639B3A22"/>
    <w:rsid w:val="639E0F07"/>
    <w:rsid w:val="64E33DF4"/>
    <w:rsid w:val="65FE7526"/>
    <w:rsid w:val="666231CD"/>
    <w:rsid w:val="68353A99"/>
    <w:rsid w:val="685847A6"/>
    <w:rsid w:val="68C14ED1"/>
    <w:rsid w:val="6905258B"/>
    <w:rsid w:val="69074555"/>
    <w:rsid w:val="6C6E6699"/>
    <w:rsid w:val="6D301BA0"/>
    <w:rsid w:val="6D5D40A3"/>
    <w:rsid w:val="6FCC5F3F"/>
    <w:rsid w:val="6FF255CE"/>
    <w:rsid w:val="70172CD7"/>
    <w:rsid w:val="7036571F"/>
    <w:rsid w:val="706A53C9"/>
    <w:rsid w:val="718D272C"/>
    <w:rsid w:val="71AA0173"/>
    <w:rsid w:val="71F72437"/>
    <w:rsid w:val="72825083"/>
    <w:rsid w:val="72875A4C"/>
    <w:rsid w:val="73697D37"/>
    <w:rsid w:val="75774CE5"/>
    <w:rsid w:val="77762511"/>
    <w:rsid w:val="785250C1"/>
    <w:rsid w:val="797075A7"/>
    <w:rsid w:val="7AAE681D"/>
    <w:rsid w:val="7BBD6FF0"/>
    <w:rsid w:val="7C5A2796"/>
    <w:rsid w:val="7C95774C"/>
    <w:rsid w:val="7CDB7267"/>
    <w:rsid w:val="7D034641"/>
    <w:rsid w:val="7DA02298"/>
    <w:rsid w:val="7F1E3F4E"/>
    <w:rsid w:val="7FAC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1441</Words>
  <Characters>1597</Characters>
  <Lines>0</Lines>
  <Paragraphs>0</Paragraphs>
  <TotalTime>0</TotalTime>
  <ScaleCrop>false</ScaleCrop>
  <LinksUpToDate>false</LinksUpToDate>
  <CharactersWithSpaces>1597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2026-07-14T16:48:00Z</dcterms:created>
  <dc:creator>WPS_1336251072</dc:creator>
  <cp:lastModifiedBy>thtf</cp:lastModifiedBy>
  <dcterms:modified xsi:type="dcterms:W3CDTF">2026-08-05T10:36:21Z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152ED1845DC840A5A4BF3E5CBF362AB8_13</vt:lpwstr>
  </property>
  <property fmtid="{D5CDD505-2E9C-101B-9397-08002B2CF9AE}" pid="4" name="KSOTemplateDocerSaveRecord">
    <vt:lpwstr>eyJoZGlkIjoiZjQ0OTFjMTBiZjJiMTlkOTk5NDFmM2EwNmQwYTFkZGUiLCJ1c2VySWQiOiIxMzM2MjUxMDcyIn0=</vt:lpwstr>
  </property>
</Properties>
</file>