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411"/>
        <w:gridCol w:w="3274"/>
        <w:gridCol w:w="9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40" w:hRule="atLeast"/>
        </w:trPr>
        <w:tc>
          <w:tcPr>
            <w:tcW w:w="13988" w:type="dxa"/>
            <w:gridSpan w:val="3"/>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bdr w:val="none" w:color="auto" w:sz="0" w:space="0"/>
                <w:lang w:val="en-US" w:eastAsia="zh-CN" w:bidi="ar"/>
              </w:rPr>
              <w:t>迎龙湖水库大坝安全管理应急预案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41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南岸区防汛抗旱指挥部成员单位</w:t>
            </w: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区应急局</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负责全区水旱灾害抢险救灾的组织协调工作，做好生产经营单位突发事件的预防和应急处置工作。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南岸区农业农村委</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负责组织、协调、监督、指导水库大坝安全管理的日常工作；负责组织、指导全区水库大坝安全管理工程建设及安全监督管理，督促镇、街道完成水利工程病险整治和水毁修复；负责水利工程水量的科学调度，防止侵占、破坏水库工程、污染抗旱水源等行为的发生；负责应急抢险物资仓库和抢险队伍建设，负责组织实施机电提灌设备的提水抢险工作；组织抢险服务队和维修人员到灾区帮助抢修提灌机具，保证农业生产和抢险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区发改委</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负责协调安排和监督管理应急抢险设施建设、重点工程除险加固计划。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区委宣传部、区教委</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负责抢险救灾宣传工作，根据防汛抗旱指挥部的要求，组织新闻媒体准确及时宣传报道抢险救灾工作。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区经信委</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负责工矿企业的应急抢险救灾工作，负责组织全区应急抢险物资供应，负责应急抢险救灾信息化建设的技术支持，协调灾情险情的应急发布和通信资源调度；负责经信委系统抢险救灾工作。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区财政局</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组织实施防洪等经费预算，根据有关部门和受灾镇、街道提出的申请，会同区防汛抗旱指挥部办公室在年度预算内审核下拨经费，并监督使用。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区住房城乡建委</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负责在建房屋建筑的防洪安全工作，负责住房城乡建设领域应急抢险救灾工作。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区城市管理局</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负责城市规划区防洪排涝工作，负责市政基础设施工程施工现场和城市市政设施的防洪安全工作，严格执行防洪规划和防洪标准，负责组织城市市政设施防洪抢险工作。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区交通局</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组织好公路、水运交通设施的防洪安全工作；做好公路（桥梁）在建工程安全防汛度汛工作，负责清除公路、水运碍洪建筑设施。配合水利部门做好通航河道的堤岸保护。协调运力运送防洪和防疫的人员、物资及设备，负责交通局系统抢险救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区农业农村委</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负责实施农业科技防灾减灾政策，指导全区农业防灾减灾技术服务体系和农村基础设施建设，组织维修人员到灾区帮助抢修农业机械，组织农技人员深入灾区，帮助指导群众开展生产自救，恢复农业生产，并做好农业生产受灾和损失分析统计工作，指导灾后恢复重建工作；负责农业农村委系统抢险救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区商务委</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负责做好粮食储备，保证灾后粮食正常供给。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区文化旅游委</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负责监督、指导旅游景区（点）编制防汛应急预案，加强汛期安全管理，落实降雨期间应急处理措施并及时做好游客安全转移工作。同时，根据天气情况，调度旅行社合理安排旅游项目线路，确保旅游安全。及时督促旅游景区（点）修复水毁旅游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区卫生健康委</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负责灾区医疗救护和疾病预防控制工作。组织、调配急救队伍抢救负伤人员，建立疫情报告制度，并采取有效措施防止和控制传染病暴发性流行，加强生活饮用水卫生、食品卫生监督监测工作和卫生知识宣传工作，确保灾区群众饮水安全；及时向灾区提供所需药品和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区公安局分局</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负责应急抢险交通秩序维护、治安管理和安全保卫工作；打击破坏大坝安全、水文、通信设施以及盗窃抢险救灾物资的行为，维护水利工程和通信设施安全；协助做好被洪水围困群众的撤离工作；负责维护重要目标和要害部位的安全；维护受灾地区正常的社会秩序，防止抢水、偷水等行为的发生，保证抢险救灾工作顺利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区规资局</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负责全区地质灾害防治工作，做好因暴雨洪灾引发的地质灾害监测预警和人员转移安置工作。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区消防救援支队</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协助支持地方应急抢险救灾，负责重大防洪抢险任务和组织救灾送水等工作。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区民政局</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组织、协调全区水旱灾害的救灾工作，组织核查灾情，统一搜集灾情及救灾工作情况；负责调配救济物资，组织、指导救灾捐赠，负责救灾捐赠款物的接收；配合做好灾民紧急转移安置工作；提出救灾物资和资金分配方案，妥善安排灾区群众的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区供电分公司</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配合供电公司做好应急抢险救灾和灾后电力供应、电力安全工作，确保电力正常供应，负责本单位的洪涝灾害应急处置工作。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区电信、移动、连通分公司，有线公司</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负责抢险救灾的通信保障，确保通信畅通。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41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应急抢险专家组成员单位</w:t>
            </w: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南岸区应急局</w:t>
            </w:r>
          </w:p>
        </w:tc>
        <w:tc>
          <w:tcPr>
            <w:tcW w:w="930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要职责：根据突发事件的类别和性质，请示政府及时调集和组织应急、水利、气象、卫生、环保、公共安全、通信等相关技术专家，分析事故发生原因，评估预测事故发展趋势，提出消减事故对人员和财产危害的应急救援技术措施和对策，为政府应急办公室及现场应急处置指挥机构提供决策依据和技术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南岸区农业农村委</w:t>
            </w:r>
          </w:p>
        </w:tc>
        <w:tc>
          <w:tcPr>
            <w:tcW w:w="930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南岸区卫生健康委</w:t>
            </w:r>
          </w:p>
        </w:tc>
        <w:tc>
          <w:tcPr>
            <w:tcW w:w="930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南岸区生态环境局</w:t>
            </w:r>
          </w:p>
        </w:tc>
        <w:tc>
          <w:tcPr>
            <w:tcW w:w="930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南岸区公安分局</w:t>
            </w:r>
          </w:p>
        </w:tc>
        <w:tc>
          <w:tcPr>
            <w:tcW w:w="930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南岸区人武部</w:t>
            </w:r>
          </w:p>
        </w:tc>
        <w:tc>
          <w:tcPr>
            <w:tcW w:w="930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重庆迎龙湖水利建设开发有限公司</w:t>
            </w:r>
          </w:p>
        </w:tc>
        <w:tc>
          <w:tcPr>
            <w:tcW w:w="930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41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应急抢险与救援队伍</w:t>
            </w: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抢险常备队</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负责人为迎龙湖水库管理单位负责人，重庆重庆迎龙湖水利建设开发有限公司组织50人的防汛常备队。防汛常备抢险队伍人员由迎龙湖水库管理处拟定及联系抢险工作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应急抢险队</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由水库管理单位组织的专业抢险队、民兵、预备役和公安干警等组成。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抢险预备队</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以区武装部为基础，组织100人的预备队。另外由迎龙镇政府组织200人的预备队，由迎龙镇镇长负责，车辆、抢险工具自备。</w:t>
            </w:r>
          </w:p>
        </w:tc>
      </w:tr>
    </w:tbl>
    <w:p/>
    <w:tbl>
      <w:tblPr>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411"/>
        <w:gridCol w:w="3274"/>
        <w:gridCol w:w="9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0" w:hRule="atLeast"/>
        </w:trPr>
        <w:tc>
          <w:tcPr>
            <w:tcW w:w="13988" w:type="dxa"/>
            <w:gridSpan w:val="3"/>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方正小标宋_GBK" w:hAnsi="方正小标宋_GBK" w:eastAsia="方正小标宋_GBK" w:cs="方正小标宋_GBK"/>
                <w:i w:val="0"/>
                <w:color w:val="000000"/>
                <w:kern w:val="0"/>
                <w:sz w:val="40"/>
                <w:szCs w:val="40"/>
                <w:u w:val="none"/>
                <w:lang w:val="en-US" w:eastAsia="zh-CN" w:bidi="ar"/>
              </w:rPr>
              <w:t>预警级别划分表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0" w:hRule="atLeast"/>
        </w:trPr>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指标级别</w:t>
            </w: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水位（m）</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bdr w:val="none" w:color="auto" w:sz="0" w:space="0"/>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10" w:hRule="atLeast"/>
        </w:trPr>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Ⅰ级</w:t>
            </w: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249.31</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水库水位超过（或将超过）校核洪水位或水库遭遇超标准大洪水、水库洪水翻坝、水库放水闸门失灵</w:t>
            </w:r>
            <w:bookmarkStart w:id="0" w:name="_GoBack"/>
            <w:bookmarkEnd w:id="0"/>
            <w:r>
              <w:rPr>
                <w:rFonts w:hint="eastAsia" w:ascii="宋体" w:hAnsi="宋体" w:eastAsia="宋体" w:cs="宋体"/>
                <w:i w:val="0"/>
                <w:color w:val="000000"/>
                <w:kern w:val="0"/>
                <w:sz w:val="22"/>
                <w:szCs w:val="22"/>
                <w:u w:val="none"/>
                <w:bdr w:val="none" w:color="auto" w:sz="0" w:space="0"/>
                <w:lang w:val="en-US" w:eastAsia="zh-CN" w:bidi="ar"/>
              </w:rPr>
              <w:t>、库区出现严重水质污染、灾害性天气引发的库区山体崩塌滑坡、基本烈度超过Ⅵ级以上的地震灾害、大坝溃坝、人为破坏、恐怖袭击或战争等情况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10" w:hRule="atLeast"/>
        </w:trPr>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Ⅱ级</w:t>
            </w: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248.17</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水库水位超过（或将超过）设计洪水位或水库出现渗漏、裂缝、滑坡、溢流堰损坏、局部决口、水库放水闸门失灵、库区出现严重水质污染、灾害性天气引发的库区山体崩塌滑坡、基本烈度超过Ⅵ级以上的地震灾害、大坝溃坝、人为破坏、恐怖袭击或战争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10" w:hRule="atLeast"/>
        </w:trPr>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Ⅲ级</w:t>
            </w: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248</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水库水位超过（或将超过）正常水位或水库出现渗漏、裂缝、滑坡、放水设施损坏、溢流堰损坏、水库放水闸门失灵、库区出现严重水质污染、灾害性天气引发的库区山体崩塌滑坡、基本烈度超过Ⅵ级以上的地震灾害、大坝溃坝、人为破坏、恐怖袭击或战争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4" w:hRule="atLeast"/>
        </w:trPr>
        <w:tc>
          <w:tcPr>
            <w:tcW w:w="14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Ⅳ级</w:t>
            </w:r>
          </w:p>
        </w:tc>
        <w:tc>
          <w:tcPr>
            <w:tcW w:w="3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低于248.00</w:t>
            </w:r>
          </w:p>
        </w:tc>
        <w:tc>
          <w:tcPr>
            <w:tcW w:w="9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水库水位低于正常水位时，水库出现渗漏、裂缝、滑坡、放水设施损坏、溢流堰损坏等情况</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0A406B"/>
    <w:rsid w:val="547C1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2024-11-25T07:13:41Z</dcterms:created>
  <dc:creator>Administrator</dc:creator>
  <cp:lastModifiedBy>wj</cp:lastModifiedBy>
  <dcterms:modified xsi:type="dcterms:W3CDTF">2024-11-25T07:15:43Z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ies>
</file>