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70" w:lineRule="atLeast"/>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shd w:val="clear" w:color="auto" w:fill="FFFFFF"/>
        </w:rPr>
        <w:t> </w:t>
      </w:r>
    </w:p>
    <w:p>
      <w:pPr>
        <w:pStyle w:val="4"/>
        <w:widowControl/>
        <w:shd w:val="clear" w:color="auto" w:fill="FFFFFF"/>
        <w:spacing w:beforeAutospacing="0" w:afterAutospacing="0" w:line="570" w:lineRule="atLeast"/>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1"/>
          <w:szCs w:val="31"/>
          <w:shd w:val="clear" w:color="auto" w:fill="FFFFFF"/>
        </w:rPr>
        <w:t> </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方正小标宋_GBK" w:hAnsi="方正小标宋_GBK" w:eastAsia="方正小标宋_GBK" w:cs="方正小标宋_GBK"/>
          <w:color w:val="333333"/>
          <w:spacing w:val="0"/>
          <w:sz w:val="44"/>
          <w:szCs w:val="44"/>
        </w:rPr>
      </w:pPr>
      <w:r>
        <w:rPr>
          <w:rFonts w:hint="eastAsia" w:ascii="方正小标宋_GBK" w:hAnsi="方正小标宋_GBK" w:eastAsia="方正小标宋_GBK" w:cs="方正小标宋_GBK"/>
          <w:color w:val="333333"/>
          <w:spacing w:val="0"/>
          <w:sz w:val="44"/>
          <w:szCs w:val="44"/>
        </w:rPr>
        <w:t>重庆市南岸区人民政府办公室</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40" w:lineRule="exact"/>
        <w:ind w:left="0" w:right="0" w:firstLine="0"/>
        <w:jc w:val="center"/>
        <w:textAlignment w:val="auto"/>
        <w:rPr>
          <w:rFonts w:hint="eastAsia" w:ascii="方正小标宋_GBK" w:hAnsi="方正小标宋_GBK" w:eastAsia="方正小标宋_GBK" w:cs="方正小标宋_GBK"/>
          <w:color w:val="333333"/>
          <w:spacing w:val="0"/>
          <w:sz w:val="44"/>
          <w:szCs w:val="44"/>
        </w:rPr>
      </w:pPr>
      <w:r>
        <w:rPr>
          <w:rFonts w:hint="eastAsia" w:ascii="方正小标宋_GBK" w:hAnsi="方正小标宋_GBK" w:eastAsia="方正小标宋_GBK" w:cs="方正小标宋_GBK"/>
          <w:color w:val="333333"/>
          <w:spacing w:val="0"/>
          <w:sz w:val="44"/>
          <w:szCs w:val="44"/>
        </w:rPr>
        <w:t>关于印发南岸区完善博士后制度的实施意见（试行）的通知</w:t>
      </w:r>
    </w:p>
    <w:p>
      <w:pPr>
        <w:shd w:val="clear" w:color="auto" w:fill="FFFFFF"/>
        <w:spacing w:before="0" w:beforeAutospacing="0" w:after="299" w:afterAutospacing="0" w:line="594" w:lineRule="atLeast"/>
        <w:ind w:left="0" w:right="0" w:firstLine="0"/>
        <w:jc w:val="center"/>
        <w:rPr>
          <w:rFonts w:hint="eastAsia" w:ascii="宋体" w:eastAsia="宋体"/>
          <w:color w:val="333333"/>
          <w:spacing w:val="0"/>
          <w:sz w:val="24"/>
          <w:szCs w:val="24"/>
        </w:rPr>
      </w:pPr>
      <w:r>
        <w:rPr>
          <w:rFonts w:hint="default" w:ascii="Times New Roman" w:hAnsi="Times New Roman" w:eastAsia="方正仿宋_GBK" w:cs="Times New Roman"/>
          <w:color w:val="333333"/>
          <w:spacing w:val="0"/>
          <w:sz w:val="32"/>
          <w:szCs w:val="32"/>
        </w:rPr>
        <w:t>南岸府办发〔2017〕100号</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right="0" w:firstLine="0"/>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各镇人民政府，各街道办事处，区级各部门，各经济板块管委会，经开区各部门，各区属国有企业，有关单位：</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right="0" w:firstLine="640"/>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经区政府同意，现将《南岸区完善博士后制度的实施意见（试行）》印发给你们，请认真组织实施。</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right="0" w:firstLine="640"/>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right="0" w:firstLine="640"/>
        <w:jc w:val="left"/>
        <w:textAlignment w:val="auto"/>
        <w:rPr>
          <w:rFonts w:hint="default" w:ascii="Times New Roman" w:hAnsi="Times New Roman" w:eastAsia="方正仿宋_GBK" w:cs="Times New Roman"/>
          <w:color w:val="333333"/>
          <w:spacing w:val="0"/>
          <w:sz w:val="32"/>
          <w:szCs w:val="32"/>
        </w:rPr>
      </w:pPr>
      <w:bookmarkStart w:id="19" w:name="_GoBack"/>
      <w:bookmarkEnd w:id="19"/>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right="0" w:firstLine="640"/>
        <w:jc w:val="center"/>
        <w:textAlignment w:val="auto"/>
        <w:rPr>
          <w:rFonts w:hint="default" w:ascii="Times New Roman" w:hAnsi="Times New Roman" w:eastAsia="方正仿宋_GBK" w:cs="Times New Roman"/>
          <w:color w:val="333333"/>
          <w:spacing w:val="0"/>
          <w:sz w:val="32"/>
          <w:szCs w:val="32"/>
        </w:rPr>
      </w:pPr>
      <w:r>
        <w:rPr>
          <w:rFonts w:hint="eastAsia" w:ascii="Times New Roman" w:hAnsi="Times New Roman" w:eastAsia="方正仿宋_GBK" w:cs="Times New Roman"/>
          <w:color w:val="333333"/>
          <w:spacing w:val="0"/>
          <w:sz w:val="32"/>
          <w:szCs w:val="32"/>
          <w:lang w:val="en-US" w:eastAsia="zh-CN"/>
        </w:rPr>
        <w:t xml:space="preserve">                 </w:t>
      </w:r>
      <w:r>
        <w:rPr>
          <w:rFonts w:hint="default" w:ascii="Times New Roman" w:hAnsi="Times New Roman" w:eastAsia="方正仿宋_GBK" w:cs="Times New Roman"/>
          <w:color w:val="333333"/>
          <w:spacing w:val="0"/>
          <w:sz w:val="32"/>
          <w:szCs w:val="32"/>
        </w:rPr>
        <w:t>重庆市南岸区人民政府办公室</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right="825" w:firstLine="640"/>
        <w:jc w:val="center"/>
        <w:textAlignment w:val="auto"/>
        <w:rPr>
          <w:rFonts w:hint="default" w:ascii="Times New Roman" w:hAnsi="Times New Roman" w:eastAsia="方正仿宋_GBK" w:cs="Times New Roman"/>
          <w:color w:val="333333"/>
          <w:spacing w:val="0"/>
          <w:sz w:val="32"/>
          <w:szCs w:val="32"/>
        </w:rPr>
      </w:pPr>
      <w:r>
        <w:rPr>
          <w:rFonts w:hint="eastAsia" w:ascii="Times New Roman" w:hAnsi="Times New Roman" w:eastAsia="方正仿宋_GBK" w:cs="Times New Roman"/>
          <w:color w:val="333333"/>
          <w:spacing w:val="0"/>
          <w:sz w:val="32"/>
          <w:szCs w:val="32"/>
          <w:lang w:val="en-US" w:eastAsia="zh-CN"/>
        </w:rPr>
        <w:t xml:space="preserve">                      </w:t>
      </w:r>
      <w:r>
        <w:rPr>
          <w:rFonts w:hint="default" w:ascii="Times New Roman" w:hAnsi="Times New Roman" w:eastAsia="方正仿宋_GBK" w:cs="Times New Roman"/>
          <w:color w:val="333333"/>
          <w:spacing w:val="0"/>
          <w:sz w:val="32"/>
          <w:szCs w:val="32"/>
        </w:rPr>
        <w:t>2017年11月23日</w:t>
      </w:r>
    </w:p>
    <w:p>
      <w:pPr>
        <w:pStyle w:val="4"/>
        <w:shd w:val="clear" w:color="auto" w:fill="FFFFFF"/>
        <w:spacing w:before="0" w:beforeAutospacing="0" w:after="299" w:afterAutospacing="0"/>
        <w:ind w:left="0" w:right="0" w:firstLine="0"/>
        <w:rPr>
          <w:rFonts w:hint="eastAsia" w:ascii="微软雅黑" w:eastAsia="微软雅黑"/>
          <w:color w:val="333333"/>
          <w:spacing w:val="0"/>
          <w:sz w:val="24"/>
          <w:szCs w:val="24"/>
        </w:rPr>
      </w:pPr>
      <w:r>
        <w:rPr>
          <w:rFonts w:hint="eastAsia" w:ascii="微软雅黑" w:eastAsia="微软雅黑"/>
          <w:color w:val="333333"/>
          <w:spacing w:val="0"/>
          <w:sz w:val="24"/>
          <w:szCs w:val="24"/>
        </w:rPr>
        <w:br w:type="textWrapping"/>
      </w:r>
    </w:p>
    <w:p>
      <w:pPr>
        <w:shd w:val="clear" w:color="auto" w:fill="FFFFFF"/>
        <w:spacing w:before="0" w:beforeAutospacing="0" w:after="299" w:afterAutospacing="0" w:line="594" w:lineRule="atLeast"/>
        <w:ind w:left="0" w:right="825" w:firstLine="640"/>
        <w:jc w:val="center"/>
        <w:rPr>
          <w:rFonts w:hint="eastAsia" w:ascii="微软雅黑" w:eastAsia="微软雅黑"/>
          <w:color w:val="333333"/>
          <w:spacing w:val="0"/>
          <w:sz w:val="24"/>
          <w:szCs w:val="24"/>
        </w:rPr>
      </w:pPr>
      <w:r>
        <w:rPr>
          <w:rFonts w:hint="eastAsia" w:ascii="微软雅黑" w:eastAsia="微软雅黑"/>
          <w:color w:val="333333"/>
          <w:spacing w:val="0"/>
          <w:sz w:val="24"/>
          <w:szCs w:val="24"/>
        </w:rPr>
        <w:br w:type="textWrapping"/>
      </w:r>
    </w:p>
    <w:p>
      <w:pPr>
        <w:shd w:val="clear" w:color="auto" w:fill="FFFFFF"/>
        <w:spacing w:before="0" w:beforeAutospacing="0" w:after="299" w:afterAutospacing="0" w:line="594" w:lineRule="atLeast"/>
        <w:ind w:left="0" w:right="825" w:firstLine="640"/>
        <w:jc w:val="center"/>
        <w:rPr>
          <w:rFonts w:hint="eastAsia" w:ascii="微软雅黑" w:eastAsia="微软雅黑"/>
          <w:color w:val="333333"/>
          <w:spacing w:val="0"/>
          <w:sz w:val="24"/>
          <w:szCs w:val="24"/>
        </w:rPr>
      </w:pPr>
    </w:p>
    <w:p>
      <w:pPr>
        <w:shd w:val="clear" w:color="auto" w:fill="FFFFFF"/>
        <w:spacing w:before="0" w:beforeAutospacing="0" w:after="299" w:afterAutospacing="0" w:line="594" w:lineRule="atLeast"/>
        <w:ind w:left="0" w:right="825" w:firstLine="640"/>
        <w:jc w:val="center"/>
        <w:rPr>
          <w:rFonts w:hint="eastAsia" w:ascii="微软雅黑" w:eastAsia="微软雅黑"/>
          <w:color w:val="333333"/>
          <w:spacing w:val="0"/>
          <w:sz w:val="24"/>
          <w:szCs w:val="24"/>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40" w:lineRule="exact"/>
        <w:ind w:left="0" w:right="828" w:firstLine="641"/>
        <w:jc w:val="center"/>
        <w:textAlignment w:val="auto"/>
        <w:rPr>
          <w:rFonts w:hint="eastAsia" w:ascii="方正小标宋_GBK" w:hAnsi="方正小标宋_GBK" w:eastAsia="方正小标宋_GBK" w:cs="方正小标宋_GBK"/>
          <w:color w:val="333333"/>
          <w:spacing w:val="0"/>
          <w:sz w:val="44"/>
          <w:szCs w:val="44"/>
        </w:rPr>
      </w:pPr>
      <w:r>
        <w:rPr>
          <w:rFonts w:hint="eastAsia" w:ascii="方正小标宋_GBK" w:hAnsi="方正小标宋_GBK" w:eastAsia="方正小标宋_GBK" w:cs="方正小标宋_GBK"/>
          <w:color w:val="333333"/>
          <w:spacing w:val="0"/>
          <w:sz w:val="44"/>
          <w:szCs w:val="44"/>
        </w:rPr>
        <w:t>南岸区完善博士后制度的实施意见</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540" w:lineRule="exact"/>
        <w:ind w:left="0" w:right="828" w:firstLine="641"/>
        <w:jc w:val="center"/>
        <w:textAlignment w:val="auto"/>
        <w:rPr>
          <w:rFonts w:hint="eastAsia" w:ascii="微软雅黑" w:eastAsia="微软雅黑"/>
          <w:color w:val="333333"/>
          <w:spacing w:val="0"/>
          <w:sz w:val="24"/>
          <w:szCs w:val="24"/>
        </w:rPr>
      </w:pPr>
      <w:r>
        <w:rPr>
          <w:rFonts w:hint="eastAsia" w:ascii="方正小标宋_GBK" w:hAnsi="方正小标宋_GBK" w:eastAsia="方正小标宋_GBK" w:cs="方正小标宋_GBK"/>
          <w:color w:val="333333"/>
          <w:spacing w:val="0"/>
          <w:sz w:val="44"/>
          <w:szCs w:val="44"/>
        </w:rPr>
        <w:t>（试行）</w:t>
      </w:r>
      <w:r>
        <w:rPr>
          <w:rFonts w:hint="eastAsia" w:ascii="微软雅黑" w:eastAsia="微软雅黑"/>
          <w:color w:val="333333"/>
          <w:spacing w:val="0"/>
          <w:sz w:val="24"/>
          <w:szCs w:val="24"/>
        </w:rPr>
        <w:t> </w:t>
      </w:r>
    </w:p>
    <w:p>
      <w:pPr>
        <w:shd w:val="clear" w:color="auto" w:fill="FFFFFF"/>
        <w:spacing w:before="0" w:beforeAutospacing="0" w:after="299" w:afterAutospacing="0" w:line="540" w:lineRule="atLeast"/>
        <w:ind w:left="0" w:right="442" w:firstLine="652"/>
        <w:jc w:val="left"/>
        <w:rPr>
          <w:rFonts w:hint="eastAsia" w:ascii="宋体" w:eastAsia="宋体"/>
          <w:color w:val="333333"/>
          <w:spacing w:val="0"/>
          <w:sz w:val="32"/>
          <w:szCs w:val="32"/>
        </w:rPr>
      </w:pP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right="442" w:firstLine="640" w:firstLineChars="200"/>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为贯彻落实《国务院办公厅关于改革完善博士后制度的意见》（国办发〔2015〕87号）和《重庆市人民政府办公厅关于改革完善博士后制度的实施意见》（渝府办发〔2017〕20号）文件要求，加快博士后科研工作站、博士后创新实践基地建设步伐，发挥博士后制度在促进南岸高端人才引进培养和创新驱动中的引领示范作用，更好地服务经济社会发展，特制定本实施意见。</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720" w:right="442" w:firstLine="0"/>
        <w:jc w:val="left"/>
        <w:textAlignment w:val="auto"/>
        <w:rPr>
          <w:rFonts w:hint="eastAsia" w:ascii="方正黑体_GBK" w:hAnsi="方正黑体_GBK" w:eastAsia="方正黑体_GBK" w:cs="方正黑体_GBK"/>
          <w:color w:val="333333"/>
          <w:spacing w:val="0"/>
          <w:sz w:val="32"/>
          <w:szCs w:val="32"/>
        </w:rPr>
      </w:pPr>
      <w:r>
        <w:rPr>
          <w:rFonts w:hint="eastAsia" w:ascii="方正黑体_GBK" w:hAnsi="方正黑体_GBK" w:eastAsia="方正黑体_GBK" w:cs="方正黑体_GBK"/>
          <w:color w:val="333333"/>
          <w:spacing w:val="0"/>
          <w:sz w:val="32"/>
          <w:szCs w:val="32"/>
        </w:rPr>
        <w:t>一、目标任务</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0"/>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坚持区委人才工作领导小组领导，突出市场需求导向和企业引才主体地位，通过健全博士后管理制度，完善博士后招收方式，进一步加大资金投入，规范过程管理，使博士后制度成为我区吸引、培养高层次创新型青年人才的重要渠道。力争到2020年，我区博士后科研工作站、博士后创新实践基地总量突破25家，全区年招收博士后25人以上。博士后学术交流不断加大，科研水平明显提升，创新创业扶持力度得到增强，科研成果转化率显著提高。</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720" w:right="442" w:firstLine="0"/>
        <w:jc w:val="left"/>
        <w:textAlignment w:val="auto"/>
        <w:rPr>
          <w:rFonts w:hint="eastAsia" w:ascii="方正仿宋_GBK" w:hAnsi="方正仿宋_GBK" w:eastAsia="方正仿宋_GBK" w:cs="方正仿宋_GBK"/>
          <w:color w:val="333333"/>
          <w:spacing w:val="0"/>
          <w:sz w:val="32"/>
          <w:szCs w:val="32"/>
        </w:rPr>
      </w:pPr>
      <w:r>
        <w:rPr>
          <w:rFonts w:hint="eastAsia" w:ascii="方正黑体_GBK" w:hAnsi="方正黑体_GBK" w:eastAsia="方正黑体_GBK" w:cs="方正黑体_GBK"/>
          <w:color w:val="333333"/>
          <w:spacing w:val="0"/>
          <w:sz w:val="32"/>
          <w:szCs w:val="32"/>
        </w:rPr>
        <w:t>二、扶持政策</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（一）对新设立并招收博士后进站的博士后科研工作站，区财政给予一次性30万元资助，主要用于开展博士后科研工作购置的设备、仪器、软件资料等相关工作性支出。</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（二）对设立3年以上的博士后科研工作站、博士后创新实践基地每两年进行一次综合评估，评估合格的给予工作经费补助5万元。</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（三）对博士后获得市级以上博士后研究项目资助，或入选“中国（重庆）新加坡博士后国际培养交流计划”等市级以上培养项目，区财政按照市级政策1:1比例给予配套经费资助。</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（四）对进站工作时间超过半年并通过开题考核的博士后，区财政一次性给予8万元的生活和工作经费资助。</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62"/>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（五）对出站后留（来）南岸从事科研工作并与用人单位签订3年以上劳动合同的博士后，对其缴纳个人所得税区级留成部分给予最长不超过3年全额补贴；在区购房的，区财政一次性给予10万元住房补贴。</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0"/>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（六）博士后在站期间或出站后首次参评专业技术职务的，按其所符合的专业技术职务条件，可不受单位岗位限制，直接推荐申报，参加职称评审委员会评审，其在站期间科研成果可作为评聘职称依据。</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（七）鼓励我区高层次人才创新创业基地申报博士后科研工作站或博士后创新实践基地，对成功设立博士后科研工作站、博士后创新实践基地的可同等享受南岸区创业孵化基地相关扶持政策。</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（八）对设在我区的博士后科研工作站、博士后创新实践基地，按照国家（市）博士后日常经费和科研经费投入机制，落实资助政策。</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高校、科研院所等非企业类单位设立博士后科研工作站招收的博士后享受第（四）项政策，或聘用出站后留（来）南岸的博士后享受第（五）项政策，其研究课题（方向）应能够提升南岸经济社会发展质量效益。</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按就高不就低原则，以上政策与我区其他优惠政策不重复申报不重复享受。</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720" w:right="442" w:firstLine="0"/>
        <w:jc w:val="left"/>
        <w:textAlignment w:val="auto"/>
        <w:rPr>
          <w:rFonts w:hint="eastAsia" w:ascii="方正黑体_GBK" w:hAnsi="方正黑体_GBK" w:eastAsia="方正黑体_GBK" w:cs="方正黑体_GBK"/>
          <w:color w:val="333333"/>
          <w:spacing w:val="0"/>
          <w:sz w:val="32"/>
          <w:szCs w:val="32"/>
        </w:rPr>
      </w:pPr>
      <w:r>
        <w:rPr>
          <w:rFonts w:hint="eastAsia" w:ascii="方正黑体_GBK" w:hAnsi="方正黑体_GBK" w:eastAsia="方正黑体_GBK" w:cs="方正黑体_GBK"/>
          <w:color w:val="333333"/>
          <w:spacing w:val="0"/>
          <w:sz w:val="32"/>
          <w:szCs w:val="32"/>
        </w:rPr>
        <w:t>三、资助程序</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博士后经费资助（补贴、补助）按以下程序申报、审核和拨付：</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（一）设站单位（申请人）提出资助申请，并提供相关证明材料（详见附件）；</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（二）区人力社保局对资助申请资料审核后，对符合条件的向社会公示5个工作日；</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（三）经公示无异议的，区财政局对资助申请资料复核后进行资金拨付。</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720" w:right="442" w:firstLine="0"/>
        <w:jc w:val="left"/>
        <w:textAlignment w:val="auto"/>
        <w:rPr>
          <w:rFonts w:hint="eastAsia" w:ascii="方正黑体_GBK" w:hAnsi="方正黑体_GBK" w:eastAsia="方正黑体_GBK" w:cs="方正黑体_GBK"/>
          <w:color w:val="333333"/>
          <w:spacing w:val="0"/>
          <w:sz w:val="32"/>
          <w:szCs w:val="32"/>
        </w:rPr>
      </w:pPr>
      <w:r>
        <w:rPr>
          <w:rFonts w:hint="eastAsia" w:ascii="方正黑体_GBK" w:hAnsi="方正黑体_GBK" w:eastAsia="方正黑体_GBK" w:cs="方正黑体_GBK"/>
          <w:color w:val="333333"/>
          <w:spacing w:val="0"/>
          <w:sz w:val="32"/>
          <w:szCs w:val="32"/>
        </w:rPr>
        <w:t>四、经费保障</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eastAsia" w:ascii="方正仿宋_GBK" w:hAnsi="方正仿宋_GBK" w:eastAsia="方正仿宋_GBK" w:cs="方正仿宋_GBK"/>
          <w:color w:val="333333"/>
          <w:spacing w:val="0"/>
          <w:sz w:val="32"/>
          <w:szCs w:val="32"/>
        </w:rPr>
      </w:pPr>
      <w:r>
        <w:rPr>
          <w:rFonts w:hint="eastAsia" w:ascii="方正仿宋_GBK" w:hAnsi="方正仿宋_GBK" w:eastAsia="方正仿宋_GBK" w:cs="方正仿宋_GBK"/>
          <w:color w:val="333333"/>
          <w:spacing w:val="0"/>
          <w:sz w:val="32"/>
          <w:szCs w:val="32"/>
        </w:rPr>
        <w:t>博士后扶持政策纳入区财政预算统筹安排保障，符合“鸿雁计划”支持范围的在“鸿雁计划”区级专项资金列支。</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720" w:right="442" w:firstLine="0"/>
        <w:jc w:val="left"/>
        <w:textAlignment w:val="auto"/>
        <w:rPr>
          <w:rFonts w:hint="eastAsia" w:ascii="方正黑体_GBK" w:hAnsi="方正黑体_GBK" w:eastAsia="方正黑体_GBK" w:cs="方正黑体_GBK"/>
          <w:color w:val="333333"/>
          <w:spacing w:val="0"/>
          <w:sz w:val="32"/>
          <w:szCs w:val="32"/>
        </w:rPr>
      </w:pPr>
      <w:r>
        <w:rPr>
          <w:rFonts w:hint="eastAsia" w:ascii="方正黑体_GBK" w:hAnsi="方正黑体_GBK" w:eastAsia="方正黑体_GBK" w:cs="方正黑体_GBK"/>
          <w:color w:val="333333"/>
          <w:spacing w:val="0"/>
          <w:sz w:val="32"/>
          <w:szCs w:val="32"/>
        </w:rPr>
        <w:t>五、优化保障服务</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一）加大经费投入。争取博士后市级以上经费投入，提高资金使用效益。设站单位投入博士后工作经费，用于研发新技术、新产品、新工艺的，按照国家税收有关规定，享受企业所得税税前加计扣除优惠。引导社会资金通过设立优秀博士后奖励基金、风险投资基金、产业引导基金等形式，支持博士后创新创业，资助创业孵化、科技成果转化，并获得相应回报。</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二）加强配套服务。做好博士后及其家属户口迁移工作，依据博士后本人意愿，按相关规定可办理我区常住户口。博士后子女的义务教育阶段入学，可由区教委统筹安排。落实博士后人事代理，区人力社保局按照相关规定，接收保管博士后人事档案，并做好相关代理服务工作。</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三）搭建交流服务平台。依托校企合作、专家联谊等平台，促进博士后与用人单位、科技项目，科技成果与市场需求沟通对接。加强博士后为基层提供科技咨询服务，鼓励博士后参加市级以上人才智力交流活动。</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default" w:ascii="Times New Roman" w:hAnsi="Times New Roman" w:eastAsia="方正仿宋_GBK" w:cs="Times New Roman"/>
          <w:color w:val="333333"/>
          <w:spacing w:val="0"/>
          <w:sz w:val="32"/>
          <w:szCs w:val="32"/>
        </w:rPr>
      </w:pPr>
      <w:r>
        <w:rPr>
          <w:rFonts w:hint="default" w:ascii="Times New Roman" w:hAnsi="Times New Roman" w:eastAsia="方正仿宋_GBK" w:cs="Times New Roman"/>
          <w:color w:val="333333"/>
          <w:spacing w:val="0"/>
          <w:sz w:val="32"/>
          <w:szCs w:val="32"/>
        </w:rPr>
        <w:t>（四）发挥社会组织作用。支持成立博士后联合会等组织，加强博士后学术、成果、人员交流。通过政府转移职能、购买服务等方式，支持社会组织为博士后科技研发、自主创新、人才培养等方面提供服务支持。</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eastAsia" w:ascii="方正黑体_GBK" w:hAnsi="方正黑体_GBK" w:eastAsia="方正黑体_GBK" w:cs="方正黑体_GBK"/>
          <w:color w:val="333333"/>
          <w:spacing w:val="0"/>
          <w:sz w:val="32"/>
          <w:szCs w:val="32"/>
        </w:rPr>
      </w:pPr>
      <w:r>
        <w:rPr>
          <w:rFonts w:hint="eastAsia" w:ascii="方正黑体_GBK" w:hAnsi="方正黑体_GBK" w:eastAsia="方正黑体_GBK" w:cs="方正黑体_GBK"/>
          <w:color w:val="333333"/>
          <w:spacing w:val="0"/>
          <w:sz w:val="32"/>
          <w:szCs w:val="32"/>
        </w:rPr>
        <w:t>六、加强组织领导</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eastAsia" w:ascii="方正仿宋_GBK" w:hAnsi="方正仿宋_GBK" w:eastAsia="方正仿宋_GBK" w:cs="方正仿宋_GBK"/>
          <w:color w:val="333333"/>
          <w:spacing w:val="0"/>
          <w:sz w:val="32"/>
          <w:szCs w:val="32"/>
        </w:rPr>
      </w:pPr>
      <w:r>
        <w:rPr>
          <w:rFonts w:hint="eastAsia" w:ascii="方正仿宋_GBK" w:hAnsi="方正仿宋_GBK" w:eastAsia="方正仿宋_GBK" w:cs="方正仿宋_GBK"/>
          <w:color w:val="333333"/>
          <w:spacing w:val="0"/>
          <w:sz w:val="32"/>
          <w:szCs w:val="32"/>
        </w:rPr>
        <w:t>区各有关部门（单位）和各设站单位（基地）要充分认识博士后工作在创新驱动发展和人才强区战略中的重要作用，加强组织领导和政策宣传，明确目标任务，强化队伍建设，打造一支政治强、作风正、业务精、服务好的博士后管理服务队伍。要结合实际，创造性开展工作，形成具体有效的工作措施，确保支持完善博士后制度的各项目标任务落到实处。</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62"/>
        <w:jc w:val="left"/>
        <w:textAlignment w:val="auto"/>
        <w:rPr>
          <w:rFonts w:hint="eastAsia" w:ascii="方正黑体_GBK" w:hAnsi="方正黑体_GBK" w:eastAsia="方正黑体_GBK" w:cs="方正黑体_GBK"/>
          <w:color w:val="333333"/>
          <w:spacing w:val="0"/>
          <w:sz w:val="32"/>
          <w:szCs w:val="32"/>
        </w:rPr>
      </w:pPr>
      <w:r>
        <w:rPr>
          <w:rFonts w:hint="eastAsia" w:ascii="方正黑体_GBK" w:hAnsi="方正黑体_GBK" w:eastAsia="方正黑体_GBK" w:cs="方正黑体_GBK"/>
          <w:color w:val="333333"/>
          <w:spacing w:val="0"/>
          <w:sz w:val="32"/>
          <w:szCs w:val="32"/>
        </w:rPr>
        <w:t>七、其他</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62"/>
        <w:jc w:val="left"/>
        <w:textAlignment w:val="auto"/>
        <w:rPr>
          <w:rFonts w:hint="eastAsia" w:ascii="方正仿宋_GBK" w:hAnsi="方正仿宋_GBK" w:eastAsia="方正仿宋_GBK" w:cs="方正仿宋_GBK"/>
          <w:color w:val="333333"/>
          <w:spacing w:val="0"/>
          <w:sz w:val="32"/>
          <w:szCs w:val="32"/>
        </w:rPr>
      </w:pPr>
      <w:r>
        <w:rPr>
          <w:rFonts w:hint="eastAsia" w:ascii="方正仿宋_GBK" w:hAnsi="方正仿宋_GBK" w:eastAsia="方正仿宋_GBK" w:cs="方正仿宋_GBK"/>
          <w:color w:val="333333"/>
          <w:spacing w:val="0"/>
          <w:sz w:val="32"/>
          <w:szCs w:val="32"/>
        </w:rPr>
        <w:t>（一）本意见自印发之日起施行，试行一年。</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eastAsia" w:ascii="方正仿宋_GBK" w:hAnsi="方正仿宋_GBK" w:eastAsia="方正仿宋_GBK" w:cs="方正仿宋_GBK"/>
          <w:color w:val="333333"/>
          <w:spacing w:val="0"/>
          <w:sz w:val="32"/>
          <w:szCs w:val="32"/>
        </w:rPr>
      </w:pPr>
      <w:r>
        <w:rPr>
          <w:rFonts w:hint="eastAsia" w:ascii="方正仿宋_GBK" w:hAnsi="方正仿宋_GBK" w:eastAsia="方正仿宋_GBK" w:cs="方正仿宋_GBK"/>
          <w:color w:val="333333"/>
          <w:spacing w:val="0"/>
          <w:sz w:val="32"/>
          <w:szCs w:val="32"/>
        </w:rPr>
        <w:t>（二）博士后科研工作站、博士后创新实践基地综合评估办法由区人力社保局另行制定。</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649"/>
        <w:jc w:val="left"/>
        <w:textAlignment w:val="auto"/>
        <w:rPr>
          <w:rFonts w:hint="eastAsia" w:ascii="方正仿宋_GBK" w:hAnsi="方正仿宋_GBK" w:eastAsia="方正仿宋_GBK" w:cs="方正仿宋_GBK"/>
          <w:color w:val="333333"/>
          <w:spacing w:val="0"/>
          <w:sz w:val="32"/>
          <w:szCs w:val="32"/>
        </w:rPr>
      </w:pPr>
      <w:r>
        <w:rPr>
          <w:rFonts w:hint="eastAsia" w:ascii="方正仿宋_GBK" w:hAnsi="方正仿宋_GBK" w:eastAsia="方正仿宋_GBK" w:cs="方正仿宋_GBK"/>
          <w:color w:val="333333"/>
          <w:spacing w:val="0"/>
          <w:sz w:val="32"/>
          <w:szCs w:val="32"/>
        </w:rPr>
        <w:t>（三）本意见由区政府办公室负责解释。</w:t>
      </w:r>
    </w:p>
    <w:p>
      <w:pPr>
        <w:keepNext w:val="0"/>
        <w:keepLines w:val="0"/>
        <w:pageBreakBefore w:val="0"/>
        <w:shd w:val="clear" w:color="auto" w:fill="FFFFFF"/>
        <w:kinsoku/>
        <w:wordWrap/>
        <w:overflowPunct/>
        <w:topLinePunct w:val="0"/>
        <w:autoSpaceDE/>
        <w:autoSpaceDN/>
        <w:bidi w:val="0"/>
        <w:adjustRightInd/>
        <w:snapToGrid/>
        <w:spacing w:before="0" w:beforeAutospacing="0" w:afterAutospacing="0" w:line="600" w:lineRule="exact"/>
        <w:ind w:left="0" w:right="0" w:firstLine="0"/>
        <w:textAlignment w:val="auto"/>
        <w:rPr>
          <w:rFonts w:hint="eastAsia" w:ascii="方正仿宋_GBK" w:hAnsi="方正仿宋_GBK" w:eastAsia="方正仿宋_GBK" w:cs="方正仿宋_GBK"/>
          <w:color w:val="333333"/>
          <w:spacing w:val="0"/>
          <w:sz w:val="32"/>
          <w:szCs w:val="32"/>
        </w:rPr>
      </w:pPr>
      <w:r>
        <w:rPr>
          <w:rFonts w:hint="eastAsia" w:ascii="方正仿宋_GBK" w:hAnsi="方正仿宋_GBK" w:eastAsia="方正仿宋_GBK" w:cs="方正仿宋_GBK"/>
          <w:color w:val="333333"/>
          <w:spacing w:val="0"/>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仿宋"/>
        <w:sz w:val="32"/>
        <w:szCs w:val="48"/>
      </w:rPr>
    </w:pPr>
    <w:bookmarkStart w:id="16" w:name="_Hlk105857874"/>
    <w:bookmarkStart w:id="17" w:name="_Hlk105858205"/>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3"/>
      <w:wordWrap w:val="0"/>
      <w:ind w:left="1067" w:leftChars="508" w:firstLine="10115" w:firstLineChars="3161"/>
      <w:jc w:val="right"/>
      <w:rPr>
        <w:rFonts w:hint="default" w:ascii="宋体" w:hAnsi="宋体" w:eastAsia="宋体" w:cs="宋体"/>
        <w:b/>
        <w:bCs/>
        <w:color w:val="005192"/>
        <w:sz w:val="28"/>
        <w:szCs w:val="44"/>
        <w:lang w:val="en-US" w:eastAsia="zh-CN"/>
      </w:rPr>
    </w:pPr>
    <w:bookmarkStart w:id="18" w:name="_Hlk105857633"/>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183515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4.45pt;height:0.15pt;width:442.25pt;z-index:251660288;mso-width-relative:page;mso-height-relative:page;" filled="f" stroked="t" coordsize="21600,21600" o:gfxdata="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N&#10;RKNE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32"/>
      </w:rPr>
      <w:t xml:space="preserve"> </w:t>
    </w:r>
    <w:r>
      <w:rPr>
        <w:color w:val="FAFAFA"/>
        <w:sz w:val="32"/>
      </w:rPr>
      <w:t xml:space="preserve">    </w:t>
    </w:r>
    <w:r>
      <w:rPr>
        <w:rFonts w:hint="eastAsia" w:ascii="宋体" w:hAnsi="宋体" w:eastAsia="宋体" w:cs="宋体"/>
        <w:b/>
        <w:bCs/>
        <w:color w:val="005192"/>
        <w:sz w:val="28"/>
        <w:szCs w:val="44"/>
        <w:lang w:eastAsia="zh-Hans"/>
      </w:rPr>
      <w:t>重庆市南岸区人民政府办公室</w:t>
    </w:r>
    <w:r>
      <w:rPr>
        <w:rFonts w:hint="eastAsia" w:ascii="宋体" w:hAnsi="宋体" w:eastAsia="宋体" w:cs="宋体"/>
        <w:b/>
        <w:bCs/>
        <w:color w:val="005192"/>
        <w:sz w:val="28"/>
        <w:szCs w:val="44"/>
      </w:rPr>
      <w:t>发布</w:t>
    </w:r>
    <w:bookmarkEnd w:id="16"/>
    <w:r>
      <w:rPr>
        <w:rFonts w:hint="eastAsia" w:ascii="宋体" w:hAnsi="宋体" w:eastAsia="宋体" w:cs="宋体"/>
        <w:b/>
        <w:bCs/>
        <w:color w:val="005192"/>
        <w:sz w:val="28"/>
        <w:szCs w:val="44"/>
        <w:lang w:val="en-US" w:eastAsia="zh-CN"/>
      </w:rPr>
      <w:t xml:space="preserve">  </w:t>
    </w:r>
  </w:p>
  <w:bookmarkEnd w:id="17"/>
  <w:bookmarkEnd w:id="18"/>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extAlignment w:val="center"/>
      <w:rPr>
        <w:rFonts w:ascii="方正仿宋_GBK" w:hAnsi="方正仿宋_GBK" w:eastAsia="方正仿宋_GBK" w:cs="方正仿宋_GBK"/>
        <w:b/>
        <w:bCs/>
        <w:color w:val="000000" w:themeColor="text1"/>
        <w:sz w:val="32"/>
        <w14:textFill>
          <w14:solidFill>
            <w14:schemeClr w14:val="tx1"/>
          </w14:solidFill>
        </w14:textFill>
      </w:rPr>
    </w:pPr>
    <w:bookmarkStart w:id="0" w:name="_Hlk105846758"/>
    <w:bookmarkStart w:id="1" w:name="_Hlk105846772"/>
    <w:bookmarkStart w:id="2" w:name="_Hlk105846756"/>
    <w:bookmarkStart w:id="3" w:name="_Hlk105846755"/>
    <w:bookmarkStart w:id="4" w:name="_Hlk105846788"/>
    <w:bookmarkStart w:id="5" w:name="_Hlk105846778"/>
    <w:bookmarkStart w:id="6" w:name="_Hlk105846773"/>
    <w:bookmarkStart w:id="7" w:name="_Hlk105846793"/>
    <w:bookmarkStart w:id="8" w:name="_Hlk105846785"/>
    <w:bookmarkStart w:id="9" w:name="_Hlk105846787"/>
    <w:bookmarkStart w:id="10" w:name="_Hlk105846783"/>
    <w:bookmarkStart w:id="11" w:name="_Hlk105846784"/>
    <w:bookmarkStart w:id="12" w:name="_Hlk105846782"/>
    <w:bookmarkStart w:id="13" w:name="_Hlk105846757"/>
    <w:bookmarkStart w:id="14" w:name="_Hlk105846777"/>
    <w:bookmarkStart w:id="15" w:name="_Hlk105846792"/>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pPr>
      <w:pStyle w:val="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重庆市南岸区人民政府行政</w:t>
    </w:r>
    <w:r>
      <w:rPr>
        <w:rFonts w:hint="eastAsia" w:ascii="宋体" w:hAnsi="宋体" w:eastAsia="宋体" w:cs="宋体"/>
        <w:b/>
        <w:bCs/>
        <w:color w:val="005192"/>
        <w:sz w:val="32"/>
        <w:szCs w:val="32"/>
        <w:lang w:eastAsia="zh-Hans"/>
      </w:rPr>
      <w:t>规范性文件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GZkNWY2NzhkZWE4ZGVmZDM1Y2ZlM2JkMTM1N2EifQ=="/>
  </w:docVars>
  <w:rsids>
    <w:rsidRoot w:val="00810BAA"/>
    <w:rsid w:val="00810BAA"/>
    <w:rsid w:val="008905CB"/>
    <w:rsid w:val="00BD2F70"/>
    <w:rsid w:val="0E220FBD"/>
    <w:rsid w:val="194A7C8B"/>
    <w:rsid w:val="20C429D0"/>
    <w:rsid w:val="28A95A36"/>
    <w:rsid w:val="33F1366C"/>
    <w:rsid w:val="38144EA1"/>
    <w:rsid w:val="43153E8E"/>
    <w:rsid w:val="4686328E"/>
    <w:rsid w:val="46DF5A9F"/>
    <w:rsid w:val="4C3106A0"/>
    <w:rsid w:val="624F2E59"/>
    <w:rsid w:val="669811DF"/>
    <w:rsid w:val="6C7B3FA6"/>
    <w:rsid w:val="6CFB0ED9"/>
    <w:rsid w:val="72237A5C"/>
    <w:rsid w:val="77450D34"/>
    <w:rsid w:val="7B10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rPr>
  </w:style>
  <w:style w:type="paragraph" w:styleId="3">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uiPriority w:val="0"/>
    <w:rPr>
      <w:color w:val="0000FF"/>
      <w:u w:val="single"/>
    </w:rPr>
  </w:style>
  <w:style w:type="character" w:customStyle="1" w:styleId="8">
    <w:name w:val="页眉 字符"/>
    <w:basedOn w:val="6"/>
    <w:link w:val="3"/>
    <w:qFormat/>
    <w:uiPriority w:val="0"/>
    <w:rPr>
      <w:rFonts w:asciiTheme="minorHAnsi" w:hAnsiTheme="minorHAnsi" w:eastAsiaTheme="minorEastAsia" w:cstheme="minorBidi"/>
      <w:kern w:val="2"/>
      <w:sz w:val="18"/>
      <w:szCs w:val="24"/>
    </w:rPr>
  </w:style>
  <w:style w:type="character" w:customStyle="1" w:styleId="9">
    <w:name w:val="页脚 字符"/>
    <w:basedOn w:val="6"/>
    <w:link w:val="2"/>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2646</Words>
  <Characters>2822</Characters>
  <Lines>21</Lines>
  <Paragraphs>5</Paragraphs>
  <TotalTime>16</TotalTime>
  <ScaleCrop>false</ScaleCrop>
  <LinksUpToDate>false</LinksUpToDate>
  <CharactersWithSpaces>2913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2022-06-10T10:36:00Z</dcterms:created>
  <dc:creator>Administrator</dc:creator>
  <cp:lastModifiedBy>Administrator</cp:lastModifiedBy>
  <dcterms:modified xsi:type="dcterms:W3CDTF">2023-11-07T07:30:08Z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CE5574F19436467F9A3BEB52CBA8BA4E</vt:lpwstr>
  </property>
</Properties>
</file>