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740"/>
        </w:tabs>
        <w:kinsoku/>
        <w:wordWrap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南岸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区202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6年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高新技术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企业培育服务引导计划项目申报表</w:t>
      </w:r>
    </w:p>
    <w:tbl>
      <w:tblPr>
        <w:tblStyle w:val="3"/>
        <w:tblW w:w="91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404"/>
        <w:gridCol w:w="2055"/>
        <w:gridCol w:w="1950"/>
        <w:gridCol w:w="356"/>
        <w:gridCol w:w="835"/>
        <w:gridCol w:w="642"/>
        <w:gridCol w:w="20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1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8"/>
                <w:szCs w:val="28"/>
                <w:lang w:val="en-US" w:eastAsia="zh-CN"/>
              </w:rPr>
              <w:t>一、项目信息（申报单位填写）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4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4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4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78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相关材料</w:t>
            </w:r>
          </w:p>
        </w:tc>
        <w:tc>
          <w:tcPr>
            <w:tcW w:w="78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1.资质证明；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2.申报单位营业执照复印件；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3.高新技术企业服务协议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4.高企申报材料等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3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年第</w:t>
            </w:r>
            <w:r>
              <w:rPr>
                <w:rFonts w:hint="eastAsia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批次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培育高新技术企业通过数量</w:t>
            </w:r>
          </w:p>
        </w:tc>
        <w:tc>
          <w:tcPr>
            <w:tcW w:w="5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9" w:hRule="atLeast"/>
          <w:jc w:val="center"/>
        </w:trPr>
        <w:tc>
          <w:tcPr>
            <w:tcW w:w="3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101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  信用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</w:rPr>
              <w:t>承诺</w:t>
            </w:r>
          </w:p>
        </w:tc>
        <w:tc>
          <w:tcPr>
            <w:tcW w:w="5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firstLine="435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本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郑重承诺，此次申报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南岸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区202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高新技术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企业培育服务引导计划项目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资料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均真实有效，如因本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提供的材料真实性问题而导致的一切后果和法律责任均由本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承担。</w:t>
            </w:r>
          </w:p>
          <w:p>
            <w:pPr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1460" w:firstLine="2160" w:firstLineChars="9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单位法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人（签字）：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1010"/>
              <w:jc w:val="righ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1010"/>
              <w:jc w:val="righ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年    月    日（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1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方正黑体_GBK" w:hAnsi="方正黑体_GBK" w:eastAsia="方正黑体_GBK" w:cs="方正黑体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8"/>
                <w:szCs w:val="28"/>
                <w:lang w:val="en-US" w:eastAsia="zh-CN"/>
              </w:rPr>
              <w:t>二、第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8"/>
                <w:szCs w:val="28"/>
                <w:lang w:val="en-US" w:eastAsia="zh-CN"/>
              </w:rPr>
              <w:t>批次服务企业台账（申报单位填写）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outlineLvl w:val="9"/>
              <w:rPr>
                <w:rFonts w:hint="default" w:ascii="方正黑体_GBK" w:hAnsi="方正黑体_GBK" w:eastAsia="方正黑体_GBK" w:cs="方正黑体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outlineLvl w:val="9"/>
              <w:rPr>
                <w:rFonts w:hint="default" w:ascii="方正黑体_GBK" w:hAnsi="方正黑体_GBK" w:eastAsia="方正黑体_GBK" w:cs="方正黑体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/>
              </w:rPr>
              <w:t>服务企业名称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outlineLvl w:val="9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/>
              </w:rPr>
              <w:t>申报时间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outlineLvl w:val="9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法人签章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5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eastAsia="zh-CN"/>
        </w:rPr>
      </w:pPr>
    </w:p>
    <w:p>
      <w:pPr>
        <w:pStyle w:val="6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0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customStyle="1" w:styleId="5">
    <w:name w:val="NormalIndent"/>
    <w:next w:val="1"/>
    <w:qFormat/>
    <w:uiPriority w:val="0"/>
    <w:pPr>
      <w:spacing w:line="580" w:lineRule="exact"/>
      <w:ind w:firstLine="200" w:firstLineChars="200"/>
      <w:jc w:val="both"/>
      <w:textAlignment w:val="baseline"/>
    </w:pPr>
    <w:rPr>
      <w:rFonts w:ascii="仿宋" w:hAnsi="Times New Roman" w:eastAsia="仿宋" w:cs="Times New Roman"/>
      <w:kern w:val="2"/>
      <w:sz w:val="32"/>
      <w:szCs w:val="21"/>
      <w:lang w:val="en-US" w:eastAsia="zh-CN" w:bidi="ar-SA"/>
    </w:rPr>
  </w:style>
  <w:style w:type="paragraph" w:customStyle="1" w:styleId="6">
    <w:name w:val="TOC5"/>
    <w:basedOn w:val="1"/>
    <w:next w:val="1"/>
    <w:qFormat/>
    <w:uiPriority w:val="0"/>
    <w:pPr>
      <w:ind w:left="800" w:leftChars="800"/>
    </w:pPr>
    <w:rPr>
      <w:rFonts w:ascii="Calibri" w:hAnsi="Calibri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2026-01-09T02:09:39Z</dcterms:created>
  <dc:creator>Administrator</dc:creator>
  <cp:lastModifiedBy>Administrator</cp:lastModifiedBy>
  <dcterms:modified xsi:type="dcterms:W3CDTF">2026-01-09T02:09:56Z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