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szCs w:val="32"/>
        </w:rPr>
      </w:pPr>
    </w:p>
    <w:p>
      <w:pPr>
        <w:rPr>
          <w:sz w:val="32"/>
          <w:szCs w:val="32"/>
        </w:rPr>
      </w:pPr>
    </w:p>
    <w:p>
      <w:pPr>
        <w:pStyle w:val="4"/>
        <w:widowControl/>
        <w:spacing w:beforeAutospacing="0" w:afterAutospacing="0" w:line="540" w:lineRule="exact"/>
        <w:jc w:val="center"/>
        <w:rPr>
          <w:rFonts w:ascii="仿宋" w:hAnsi="仿宋" w:eastAsia="仿宋" w:cs="仿宋"/>
          <w:sz w:val="44"/>
          <w:szCs w:val="44"/>
        </w:rPr>
      </w:pPr>
      <w:r>
        <w:rPr>
          <w:rFonts w:ascii="方正小标宋_GBK" w:hAnsi="方正小标宋_GBK" w:eastAsia="方正小标宋_GBK" w:cs="方正小标宋_GBK"/>
          <w:sz w:val="44"/>
          <w:szCs w:val="44"/>
        </w:rPr>
        <w:t>重庆市南岸区人民政府办公室</w:t>
      </w:r>
    </w:p>
    <w:p>
      <w:pPr>
        <w:pStyle w:val="4"/>
        <w:widowControl/>
        <w:spacing w:beforeAutospacing="0" w:afterAutospacing="0" w:line="540" w:lineRule="exact"/>
        <w:jc w:val="center"/>
        <w:rPr>
          <w:rFonts w:ascii="仿宋" w:hAnsi="仿宋" w:eastAsia="仿宋" w:cs="仿宋"/>
          <w:sz w:val="44"/>
          <w:szCs w:val="44"/>
        </w:rPr>
      </w:pPr>
      <w:r>
        <w:rPr>
          <w:rFonts w:hint="eastAsia" w:ascii="方正小标宋_GBK" w:hAnsi="方正小标宋_GBK" w:eastAsia="方正小标宋_GBK" w:cs="方正小标宋_GBK"/>
          <w:sz w:val="44"/>
          <w:szCs w:val="44"/>
        </w:rPr>
        <w:t>关于印发《支持绿色创新若干财政金融政策》的通知</w:t>
      </w:r>
    </w:p>
    <w:p>
      <w:pPr>
        <w:pStyle w:val="4"/>
        <w:widowControl/>
        <w:spacing w:beforeAutospacing="0" w:afterAutospacing="0" w:line="570" w:lineRule="atLeast"/>
        <w:jc w:val="center"/>
        <w:rPr>
          <w:rFonts w:ascii="Times New Roman" w:hAnsi="Times New Roman" w:eastAsia="方正仿宋_GBK"/>
          <w:sz w:val="32"/>
          <w:szCs w:val="32"/>
        </w:rPr>
      </w:pPr>
      <w:r>
        <w:rPr>
          <w:rFonts w:ascii="Times New Roman" w:hAnsi="Times New Roman" w:eastAsia="方正仿宋_GBK"/>
          <w:sz w:val="32"/>
          <w:szCs w:val="32"/>
        </w:rPr>
        <w:t>南岸府办发〔2021〕34号</w:t>
      </w:r>
    </w:p>
    <w:p>
      <w:pPr>
        <w:pStyle w:val="4"/>
        <w:widowControl/>
        <w:spacing w:beforeAutospacing="0" w:afterAutospacing="0" w:line="570" w:lineRule="atLeast"/>
        <w:jc w:val="both"/>
        <w:rPr>
          <w:rFonts w:ascii="仿宋" w:hAnsi="仿宋" w:eastAsia="仿宋" w:cs="仿宋"/>
          <w:sz w:val="32"/>
          <w:szCs w:val="32"/>
        </w:rPr>
      </w:pPr>
    </w:p>
    <w:p>
      <w:pPr>
        <w:pStyle w:val="4"/>
        <w:widowControl/>
        <w:spacing w:beforeAutospacing="0" w:afterAutospacing="0" w:line="600" w:lineRule="exact"/>
        <w:jc w:val="both"/>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各镇人民政府，各街道办事处，区级各部门，各人民团体，各经济板块建设发展中心，重庆经开区各部门，各区属重点国有企业，各有关单位：</w:t>
      </w:r>
    </w:p>
    <w:p>
      <w:pPr>
        <w:pStyle w:val="4"/>
        <w:widowControl/>
        <w:spacing w:beforeAutospacing="0" w:afterAutospacing="0" w:line="600" w:lineRule="exact"/>
        <w:ind w:firstLine="420"/>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《支持绿色创新若干财政金融政策》已经区政府、经开区管委会研究同意，现印发给你们，请认真组织实施。</w:t>
      </w:r>
    </w:p>
    <w:p>
      <w:pPr>
        <w:pStyle w:val="4"/>
        <w:widowControl/>
        <w:spacing w:beforeAutospacing="0" w:afterAutospacing="0" w:line="600" w:lineRule="exact"/>
        <w:jc w:val="both"/>
        <w:rPr>
          <w:rFonts w:ascii="方正仿宋_GBK" w:hAnsi="方正仿宋_GBK" w:eastAsia="方正仿宋_GBK" w:cs="方正仿宋_GBK"/>
          <w:sz w:val="32"/>
          <w:szCs w:val="32"/>
        </w:rPr>
      </w:pPr>
    </w:p>
    <w:p>
      <w:pPr>
        <w:pStyle w:val="4"/>
        <w:widowControl/>
        <w:spacing w:beforeAutospacing="0" w:afterAutospacing="0" w:line="600" w:lineRule="exact"/>
        <w:jc w:val="both"/>
        <w:rPr>
          <w:rFonts w:ascii="方正仿宋_GBK" w:hAnsi="方正仿宋_GBK" w:eastAsia="方正仿宋_GBK" w:cs="方正仿宋_GBK"/>
          <w:sz w:val="32"/>
          <w:szCs w:val="32"/>
        </w:rPr>
      </w:pPr>
    </w:p>
    <w:p>
      <w:pPr>
        <w:pStyle w:val="4"/>
        <w:widowControl/>
        <w:spacing w:beforeAutospacing="0" w:afterAutospacing="0" w:line="600" w:lineRule="exact"/>
        <w:jc w:val="both"/>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                                重庆市南岸区人民政府办公室</w:t>
      </w:r>
    </w:p>
    <w:p>
      <w:pPr>
        <w:pStyle w:val="4"/>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 xml:space="preserve">                     </w:t>
      </w:r>
      <w:r>
        <w:rPr>
          <w:rFonts w:ascii="Times New Roman" w:hAnsi="Times New Roman" w:eastAsia="方正仿宋_GBK"/>
          <w:color w:val="000000"/>
          <w:sz w:val="32"/>
          <w:szCs w:val="32"/>
        </w:rPr>
        <w:t xml:space="preserve"> 2021年7月13日</w:t>
      </w:r>
    </w:p>
    <w:p>
      <w:pPr>
        <w:pStyle w:val="4"/>
        <w:widowControl/>
        <w:spacing w:beforeAutospacing="0" w:afterAutospacing="0" w:line="600" w:lineRule="exact"/>
        <w:ind w:firstLine="420"/>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（此件公开发布）</w:t>
      </w:r>
    </w:p>
    <w:p>
      <w:pPr>
        <w:pStyle w:val="4"/>
        <w:widowControl/>
        <w:spacing w:beforeAutospacing="0" w:afterAutospacing="0" w:line="600" w:lineRule="exact"/>
        <w:jc w:val="center"/>
        <w:rPr>
          <w:rFonts w:ascii="方正仿宋_GBK" w:hAnsi="方正仿宋_GBK" w:eastAsia="方正仿宋_GBK" w:cs="方正仿宋_GBK"/>
          <w:sz w:val="32"/>
          <w:szCs w:val="32"/>
        </w:rPr>
      </w:pPr>
    </w:p>
    <w:p>
      <w:pPr>
        <w:pStyle w:val="4"/>
        <w:widowControl/>
        <w:spacing w:beforeAutospacing="0" w:afterAutospacing="0" w:line="570" w:lineRule="atLeast"/>
        <w:jc w:val="both"/>
        <w:rPr>
          <w:rFonts w:hint="eastAsia" w:ascii="方正小标宋_GBK" w:hAnsi="方正小标宋_GBK" w:eastAsia="方正小标宋_GBK" w:cs="方正小标宋_GBK"/>
          <w:sz w:val="42"/>
          <w:szCs w:val="42"/>
        </w:rPr>
      </w:pPr>
    </w:p>
    <w:p>
      <w:pPr>
        <w:pStyle w:val="4"/>
        <w:widowControl/>
        <w:spacing w:beforeAutospacing="0" w:afterAutospacing="0" w:line="570" w:lineRule="atLeast"/>
        <w:jc w:val="center"/>
        <w:rPr>
          <w:rFonts w:ascii="方正小标宋_GBK" w:hAnsi="方正小标宋_GBK" w:eastAsia="方正小标宋_GBK" w:cs="方正小标宋_GBK"/>
          <w:sz w:val="32"/>
          <w:szCs w:val="32"/>
        </w:rPr>
      </w:pPr>
    </w:p>
    <w:p>
      <w:pPr>
        <w:pStyle w:val="4"/>
        <w:widowControl/>
        <w:spacing w:beforeAutospacing="0" w:afterAutospacing="0" w:line="570" w:lineRule="atLeast"/>
        <w:jc w:val="center"/>
        <w:rPr>
          <w:rFonts w:ascii="方正小标宋_GBK" w:hAnsi="方正小标宋_GBK" w:eastAsia="方正小标宋_GBK" w:cs="方正小标宋_GBK"/>
          <w:sz w:val="44"/>
          <w:szCs w:val="44"/>
        </w:rPr>
      </w:pPr>
    </w:p>
    <w:p>
      <w:pPr>
        <w:pStyle w:val="4"/>
        <w:widowControl/>
        <w:spacing w:beforeAutospacing="0" w:afterAutospacing="0" w:line="570" w:lineRule="atLeast"/>
        <w:jc w:val="center"/>
        <w:rPr>
          <w:rFonts w:ascii="仿宋" w:hAnsi="仿宋" w:eastAsia="仿宋" w:cs="仿宋"/>
          <w:sz w:val="44"/>
          <w:szCs w:val="44"/>
        </w:rPr>
      </w:pPr>
      <w:r>
        <w:rPr>
          <w:rFonts w:hint="eastAsia" w:ascii="方正小标宋_GBK" w:hAnsi="方正小标宋_GBK" w:eastAsia="方正小标宋_GBK" w:cs="方正小标宋_GBK"/>
          <w:sz w:val="44"/>
          <w:szCs w:val="44"/>
        </w:rPr>
        <w:t>支持绿色创新若干财政金融政策</w:t>
      </w:r>
    </w:p>
    <w:p>
      <w:pPr>
        <w:pStyle w:val="4"/>
        <w:widowControl/>
        <w:spacing w:beforeAutospacing="0" w:afterAutospacing="0" w:line="570" w:lineRule="atLeast"/>
        <w:rPr>
          <w:rFonts w:ascii="仿宋" w:hAnsi="仿宋" w:eastAsia="仿宋" w:cs="仿宋"/>
          <w:sz w:val="32"/>
          <w:szCs w:val="32"/>
        </w:rPr>
      </w:pPr>
    </w:p>
    <w:p>
      <w:pPr>
        <w:pStyle w:val="4"/>
        <w:widowControl/>
        <w:spacing w:beforeAutospacing="0" w:afterAutospacing="0" w:line="600" w:lineRule="exact"/>
        <w:ind w:firstLine="640" w:firstLineChars="200"/>
        <w:rPr>
          <w:rFonts w:ascii="Times New Roman" w:hAnsi="Times New Roman" w:eastAsia="方正仿宋_GBK"/>
          <w:sz w:val="32"/>
          <w:szCs w:val="32"/>
        </w:rPr>
      </w:pPr>
      <w:r>
        <w:rPr>
          <w:rFonts w:ascii="Times New Roman" w:hAnsi="Times New Roman" w:eastAsia="方正仿宋_GBK"/>
          <w:color w:val="000000"/>
          <w:sz w:val="32"/>
          <w:szCs w:val="32"/>
        </w:rPr>
        <w:t>为深入贯彻落实习近平总书记重要讲话精神，聚焦“四个面向”，深入实施创新驱动发展战略，以绿色发展为本底和目标，以科技创新为手段和主旋律，建立财政投入为引导、社会投入为主体、金融市场为支撑的多元发展投入体系，推动“十四五”期间绿色创新项目、资金、人才一体化配置，实现全区绿色创新支撑引领高质量发展，特制定本政策。</w:t>
      </w:r>
    </w:p>
    <w:p>
      <w:pPr>
        <w:pStyle w:val="4"/>
        <w:widowControl/>
        <w:spacing w:beforeAutospacing="0" w:afterAutospacing="0"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color w:val="000000"/>
          <w:sz w:val="32"/>
          <w:szCs w:val="32"/>
        </w:rPr>
        <w:t>一、集聚绿色创新力量</w:t>
      </w:r>
    </w:p>
    <w:p>
      <w:pPr>
        <w:pStyle w:val="4"/>
        <w:widowControl/>
        <w:spacing w:beforeAutospacing="0" w:afterAutospacing="0" w:line="600" w:lineRule="exact"/>
        <w:ind w:firstLine="640" w:firstLineChars="200"/>
        <w:rPr>
          <w:rFonts w:ascii="Times New Roman" w:hAnsi="Times New Roman" w:eastAsia="方正仿宋_GBK"/>
          <w:sz w:val="32"/>
          <w:szCs w:val="32"/>
        </w:rPr>
      </w:pPr>
      <w:r>
        <w:rPr>
          <w:rFonts w:ascii="Times New Roman" w:hAnsi="Times New Roman" w:eastAsia="方正仿宋_GBK"/>
          <w:color w:val="000000"/>
          <w:sz w:val="32"/>
          <w:szCs w:val="32"/>
        </w:rPr>
        <w:t>1．支持国家级创新平台聚集</w:t>
      </w:r>
    </w:p>
    <w:p>
      <w:pPr>
        <w:pStyle w:val="4"/>
        <w:widowControl/>
        <w:spacing w:beforeAutospacing="0" w:afterAutospacing="0" w:line="600" w:lineRule="exact"/>
        <w:ind w:firstLine="640" w:firstLineChars="200"/>
        <w:rPr>
          <w:rFonts w:ascii="Times New Roman" w:hAnsi="Times New Roman" w:eastAsia="方正仿宋_GBK"/>
          <w:sz w:val="32"/>
          <w:szCs w:val="32"/>
        </w:rPr>
      </w:pPr>
      <w:r>
        <w:rPr>
          <w:rFonts w:ascii="Times New Roman" w:hAnsi="Times New Roman" w:eastAsia="方正仿宋_GBK"/>
          <w:color w:val="000000"/>
          <w:sz w:val="32"/>
          <w:szCs w:val="32"/>
        </w:rPr>
        <w:t>争取国家级创新平台在广阳岛智创生态城落地，支持国家实验室、重大科技基础设施加快聚集。对新认定的国家重点实验室、国家工程研究中心、国家技术创新中心等国家科技创新基地给予一次性200万元建设后补助，对新认定的市级重点实验室、工程研究中心、技术创新中心等市级研发平台给予一次性10万元补助。对国家重点实验室每年给予600万元稳定支持经费。根据科技部每轮评估结果给予国家重点实验室一次性激励经费支持，评估结果为优秀的给予500万元、良好的给予200万元激励经费。对国家重点培育的国家实验室、重大科技基础设施，在设备购置、研发投入、人才引进等方面，根据承载主体、市、区联动支持机制，由市、区按6∶4比例共担。对国家布局在广阳岛智创生态城的国家实验室、重大科技基础设施，按规定“一事一议”给予支持。</w:t>
      </w:r>
    </w:p>
    <w:p>
      <w:pPr>
        <w:pStyle w:val="4"/>
        <w:widowControl/>
        <w:spacing w:beforeAutospacing="0" w:afterAutospacing="0" w:line="600" w:lineRule="exact"/>
        <w:ind w:firstLine="640" w:firstLineChars="200"/>
        <w:rPr>
          <w:rFonts w:ascii="Times New Roman" w:hAnsi="Times New Roman" w:eastAsia="方正仿宋_GBK"/>
          <w:sz w:val="32"/>
          <w:szCs w:val="32"/>
        </w:rPr>
      </w:pPr>
      <w:r>
        <w:rPr>
          <w:rFonts w:ascii="Times New Roman" w:hAnsi="Times New Roman" w:eastAsia="方正仿宋_GBK"/>
          <w:color w:val="000000"/>
          <w:sz w:val="32"/>
          <w:szCs w:val="32"/>
        </w:rPr>
        <w:t>责任单位：区科技局、经开区改革发展科技局</w:t>
      </w:r>
    </w:p>
    <w:p>
      <w:pPr>
        <w:pStyle w:val="4"/>
        <w:widowControl/>
        <w:spacing w:beforeAutospacing="0" w:afterAutospacing="0" w:line="600" w:lineRule="exact"/>
        <w:ind w:firstLine="640" w:firstLineChars="200"/>
        <w:rPr>
          <w:rFonts w:ascii="Times New Roman" w:hAnsi="Times New Roman" w:eastAsia="方正仿宋_GBK"/>
          <w:sz w:val="32"/>
          <w:szCs w:val="32"/>
        </w:rPr>
      </w:pPr>
      <w:r>
        <w:rPr>
          <w:rFonts w:ascii="Times New Roman" w:hAnsi="Times New Roman" w:eastAsia="方正仿宋_GBK"/>
          <w:color w:val="000000"/>
          <w:sz w:val="32"/>
          <w:szCs w:val="32"/>
        </w:rPr>
        <w:t>2．发展新型高端研发机构</w:t>
      </w:r>
    </w:p>
    <w:p>
      <w:pPr>
        <w:pStyle w:val="4"/>
        <w:widowControl/>
        <w:spacing w:beforeAutospacing="0" w:afterAutospacing="0" w:line="600" w:lineRule="exact"/>
        <w:ind w:firstLine="640" w:firstLineChars="200"/>
        <w:rPr>
          <w:rFonts w:ascii="Times New Roman" w:hAnsi="Times New Roman" w:eastAsia="方正仿宋_GBK"/>
          <w:sz w:val="32"/>
          <w:szCs w:val="32"/>
        </w:rPr>
      </w:pPr>
      <w:r>
        <w:rPr>
          <w:rFonts w:ascii="Times New Roman" w:hAnsi="Times New Roman" w:eastAsia="方正仿宋_GBK"/>
          <w:color w:val="000000"/>
          <w:sz w:val="32"/>
          <w:szCs w:val="32"/>
        </w:rPr>
        <w:t>支持国内外知名高校、科研机构、科学家及科研团队等来区设立科研分支机构，同时培育本地科研机构做优做强。对符合我区重点产业发展方向和国家绿色产业示范基地建设需求的独立法人新型研发机构和高端研发机构，经市级科技主管部门新评审认定的，按照市级补助到位资金的50%配套补助，单个机构累计补助最高500万元。对国家布局设立并积极融入共建“一带一路”科技合作、成渝地区双城经济圈和“一区两群”协同创新的整建制科研机构和分支机构，按规定“一事一议”给予支持。</w:t>
      </w:r>
    </w:p>
    <w:p>
      <w:pPr>
        <w:pStyle w:val="4"/>
        <w:widowControl/>
        <w:spacing w:beforeAutospacing="0" w:afterAutospacing="0" w:line="600" w:lineRule="exact"/>
        <w:ind w:firstLine="640" w:firstLineChars="200"/>
        <w:rPr>
          <w:rFonts w:ascii="Times New Roman" w:hAnsi="Times New Roman" w:eastAsia="方正仿宋_GBK"/>
          <w:sz w:val="32"/>
          <w:szCs w:val="32"/>
        </w:rPr>
      </w:pPr>
      <w:r>
        <w:rPr>
          <w:rFonts w:ascii="Times New Roman" w:hAnsi="Times New Roman" w:eastAsia="方正仿宋_GBK"/>
          <w:color w:val="000000"/>
          <w:sz w:val="32"/>
          <w:szCs w:val="32"/>
        </w:rPr>
        <w:t>责任单位：区科技局、经开区改革发展科技局</w:t>
      </w:r>
    </w:p>
    <w:p>
      <w:pPr>
        <w:pStyle w:val="4"/>
        <w:widowControl/>
        <w:spacing w:beforeAutospacing="0" w:afterAutospacing="0" w:line="600" w:lineRule="exact"/>
        <w:ind w:firstLine="640" w:firstLineChars="200"/>
        <w:rPr>
          <w:rFonts w:ascii="Times New Roman" w:hAnsi="Times New Roman" w:eastAsia="方正仿宋_GBK"/>
          <w:sz w:val="32"/>
          <w:szCs w:val="32"/>
        </w:rPr>
      </w:pPr>
      <w:r>
        <w:rPr>
          <w:rFonts w:ascii="Times New Roman" w:hAnsi="Times New Roman" w:eastAsia="方正仿宋_GBK"/>
          <w:color w:val="000000"/>
          <w:sz w:val="32"/>
          <w:szCs w:val="32"/>
        </w:rPr>
        <w:t>3．鼓励承接国家重大科技计划项目</w:t>
      </w:r>
    </w:p>
    <w:p>
      <w:pPr>
        <w:pStyle w:val="4"/>
        <w:widowControl/>
        <w:spacing w:beforeAutospacing="0" w:afterAutospacing="0" w:line="600" w:lineRule="exact"/>
        <w:ind w:firstLine="640" w:firstLineChars="200"/>
        <w:rPr>
          <w:rFonts w:ascii="Times New Roman" w:hAnsi="Times New Roman" w:eastAsia="方正仿宋_GBK"/>
          <w:sz w:val="32"/>
          <w:szCs w:val="32"/>
        </w:rPr>
      </w:pPr>
      <w:r>
        <w:rPr>
          <w:rFonts w:ascii="Times New Roman" w:hAnsi="Times New Roman" w:eastAsia="方正仿宋_GBK"/>
          <w:color w:val="000000"/>
          <w:sz w:val="32"/>
          <w:szCs w:val="32"/>
        </w:rPr>
        <w:t>鼓励企业积极争取人工智能、大数据、智能制造、生态环保等前瞻性、战略性国家级科技专项。对牵头承担国家科技重大专项和重点研发计划的企业，根据项目合同实施进展绩效，按项目上年实际分配到位的国拨经费的3%奖励研发团队，给予单个项目最高100万元、单户企业每年最高300万元奖励。</w:t>
      </w:r>
    </w:p>
    <w:p>
      <w:pPr>
        <w:pStyle w:val="4"/>
        <w:widowControl/>
        <w:spacing w:beforeAutospacing="0" w:afterAutospacing="0" w:line="600" w:lineRule="exact"/>
        <w:ind w:firstLine="640" w:firstLineChars="200"/>
        <w:rPr>
          <w:rFonts w:ascii="Times New Roman" w:hAnsi="Times New Roman" w:eastAsia="方正仿宋_GBK"/>
          <w:sz w:val="32"/>
          <w:szCs w:val="32"/>
        </w:rPr>
      </w:pPr>
      <w:r>
        <w:rPr>
          <w:rFonts w:ascii="Times New Roman" w:hAnsi="Times New Roman" w:eastAsia="方正仿宋_GBK"/>
          <w:color w:val="000000"/>
          <w:sz w:val="32"/>
          <w:szCs w:val="32"/>
        </w:rPr>
        <w:t>责任单位：区科技局、经开区改革发展科技局</w:t>
      </w:r>
    </w:p>
    <w:p>
      <w:pPr>
        <w:pStyle w:val="4"/>
        <w:widowControl/>
        <w:spacing w:beforeAutospacing="0" w:afterAutospacing="0" w:line="600" w:lineRule="exact"/>
        <w:ind w:firstLine="640" w:firstLineChars="200"/>
        <w:rPr>
          <w:rFonts w:ascii="Times New Roman" w:hAnsi="Times New Roman" w:eastAsia="方正仿宋_GBK"/>
          <w:sz w:val="32"/>
          <w:szCs w:val="32"/>
        </w:rPr>
      </w:pPr>
      <w:r>
        <w:rPr>
          <w:rFonts w:ascii="Times New Roman" w:hAnsi="Times New Roman" w:eastAsia="方正仿宋_GBK"/>
          <w:color w:val="000000"/>
          <w:sz w:val="32"/>
          <w:szCs w:val="32"/>
        </w:rPr>
        <w:t>4．提升高校创新能力</w:t>
      </w:r>
    </w:p>
    <w:p>
      <w:pPr>
        <w:pStyle w:val="4"/>
        <w:widowControl/>
        <w:spacing w:beforeAutospacing="0" w:afterAutospacing="0" w:line="600" w:lineRule="exact"/>
        <w:ind w:firstLine="640" w:firstLineChars="200"/>
        <w:rPr>
          <w:rFonts w:ascii="Times New Roman" w:hAnsi="Times New Roman" w:eastAsia="方正仿宋_GBK"/>
          <w:sz w:val="32"/>
          <w:szCs w:val="32"/>
        </w:rPr>
      </w:pPr>
      <w:r>
        <w:rPr>
          <w:rFonts w:ascii="Times New Roman" w:hAnsi="Times New Roman" w:eastAsia="方正仿宋_GBK"/>
          <w:color w:val="000000"/>
          <w:sz w:val="32"/>
          <w:szCs w:val="32"/>
        </w:rPr>
        <w:t>支持环大学创新生态圈建设，鼓励区内高校联合科研院所、企业面向前沿领域开展技术攻关，聚焦广阳岛智创生态城绿色创新发展需求和战略性新兴产业等主攻方向，每年实施一批技术创新与应用示范专项，单个项目给予最高100万元补助。鼓励市级及以上科技企业孵化器、国家备案众创空间与区内高校联合举办科技成果转化、投融资对接、创新创业大赛等双创活动，给予同一平台当年活动实际支出的30%补助，单个平台每年最高补助10万元。鼓励市级及以上科技企业孵化器、国家备案众创空间与区内高校联合孵化科技成果转化项目、创新创业项目，对入驻上述平台3年以内的高校项目按平台运营机构基本服务收费50%、同一项目累计不超过5万元补助。</w:t>
      </w:r>
    </w:p>
    <w:p>
      <w:pPr>
        <w:pStyle w:val="4"/>
        <w:widowControl/>
        <w:spacing w:beforeAutospacing="0" w:afterAutospacing="0" w:line="600" w:lineRule="exact"/>
        <w:ind w:firstLine="640" w:firstLineChars="200"/>
        <w:rPr>
          <w:rFonts w:ascii="Times New Roman" w:hAnsi="Times New Roman" w:eastAsia="方正仿宋_GBK"/>
          <w:sz w:val="32"/>
          <w:szCs w:val="32"/>
        </w:rPr>
      </w:pPr>
      <w:r>
        <w:rPr>
          <w:rFonts w:ascii="Times New Roman" w:hAnsi="Times New Roman" w:eastAsia="方正仿宋_GBK"/>
          <w:color w:val="000000"/>
          <w:sz w:val="32"/>
          <w:szCs w:val="32"/>
        </w:rPr>
        <w:t>责任单位：区科技局、经开区改革发展科技局</w:t>
      </w:r>
    </w:p>
    <w:p>
      <w:pPr>
        <w:pStyle w:val="4"/>
        <w:widowControl/>
        <w:spacing w:beforeAutospacing="0" w:afterAutospacing="0" w:line="600" w:lineRule="exact"/>
        <w:ind w:firstLine="640" w:firstLineChars="200"/>
        <w:rPr>
          <w:rFonts w:ascii="Times New Roman" w:hAnsi="Times New Roman" w:eastAsia="方正仿宋_GBK"/>
          <w:sz w:val="32"/>
          <w:szCs w:val="32"/>
        </w:rPr>
      </w:pPr>
      <w:r>
        <w:rPr>
          <w:rFonts w:ascii="Times New Roman" w:hAnsi="Times New Roman" w:eastAsia="方正仿宋_GBK"/>
          <w:color w:val="000000"/>
          <w:sz w:val="32"/>
          <w:szCs w:val="32"/>
        </w:rPr>
        <w:t>5．鼓励企业加大研发投入</w:t>
      </w:r>
    </w:p>
    <w:p>
      <w:pPr>
        <w:pStyle w:val="4"/>
        <w:widowControl/>
        <w:spacing w:beforeAutospacing="0" w:afterAutospacing="0" w:line="600" w:lineRule="exact"/>
        <w:ind w:firstLine="640" w:firstLineChars="200"/>
        <w:rPr>
          <w:rFonts w:ascii="Times New Roman" w:hAnsi="Times New Roman" w:eastAsia="方正仿宋_GBK"/>
          <w:sz w:val="32"/>
          <w:szCs w:val="32"/>
        </w:rPr>
      </w:pPr>
      <w:r>
        <w:rPr>
          <w:rFonts w:ascii="Times New Roman" w:hAnsi="Times New Roman" w:eastAsia="方正仿宋_GBK"/>
          <w:color w:val="000000"/>
          <w:sz w:val="32"/>
          <w:szCs w:val="32"/>
        </w:rPr>
        <w:t>严格落实国家提高制造业企业研发费用加计扣除比例政策,扣除比例由75%提高至100%。支持企业建立研发准备金制度，积极支持申报研发费用1000万元以上的企业按政策向市级申报补助资金，对申报研发费用1000万元以下的企业，按研发费用存量不高于3%、增量不高于10%的比例给予区级补助。对新入库的科技型企业和享受我市企业研发准备金补助支持范围以外的规模以上科技型企业，按研发费用存量不高于3%、增量不高于10%的比例给予补助，具体补助比例根据年度资金预算和企业申报情况确定，单个企业每年补助不超过100万元。</w:t>
      </w:r>
    </w:p>
    <w:p>
      <w:pPr>
        <w:pStyle w:val="4"/>
        <w:widowControl/>
        <w:spacing w:beforeAutospacing="0" w:afterAutospacing="0" w:line="600" w:lineRule="exact"/>
        <w:ind w:firstLine="640" w:firstLineChars="200"/>
        <w:rPr>
          <w:rFonts w:ascii="Times New Roman" w:hAnsi="Times New Roman" w:eastAsia="方正仿宋_GBK"/>
          <w:sz w:val="32"/>
          <w:szCs w:val="32"/>
        </w:rPr>
      </w:pPr>
      <w:r>
        <w:rPr>
          <w:rFonts w:ascii="Times New Roman" w:hAnsi="Times New Roman" w:eastAsia="方正仿宋_GBK"/>
          <w:color w:val="000000"/>
          <w:sz w:val="32"/>
          <w:szCs w:val="32"/>
        </w:rPr>
        <w:t>责任单位：区经济信息委、区科技局、经开区经济运行局、经开区改革发展科技局</w:t>
      </w:r>
    </w:p>
    <w:p>
      <w:pPr>
        <w:pStyle w:val="4"/>
        <w:widowControl/>
        <w:spacing w:beforeAutospacing="0" w:afterAutospacing="0" w:line="600" w:lineRule="exact"/>
        <w:ind w:firstLine="640" w:firstLineChars="200"/>
        <w:rPr>
          <w:rFonts w:ascii="Times New Roman" w:hAnsi="Times New Roman" w:eastAsia="方正仿宋_GBK"/>
          <w:sz w:val="32"/>
          <w:szCs w:val="32"/>
        </w:rPr>
      </w:pPr>
      <w:r>
        <w:rPr>
          <w:rFonts w:ascii="Times New Roman" w:hAnsi="Times New Roman" w:eastAsia="方正仿宋_GBK"/>
          <w:color w:val="000000"/>
          <w:sz w:val="32"/>
          <w:szCs w:val="32"/>
        </w:rPr>
        <w:t>6．实施高新技术企业倍增工程</w:t>
      </w:r>
    </w:p>
    <w:p>
      <w:pPr>
        <w:pStyle w:val="4"/>
        <w:widowControl/>
        <w:spacing w:beforeAutospacing="0" w:afterAutospacing="0" w:line="600" w:lineRule="exact"/>
        <w:ind w:firstLine="640" w:firstLineChars="200"/>
        <w:rPr>
          <w:rFonts w:ascii="Times New Roman" w:hAnsi="Times New Roman" w:eastAsia="方正仿宋_GBK"/>
          <w:sz w:val="32"/>
          <w:szCs w:val="32"/>
        </w:rPr>
      </w:pPr>
      <w:r>
        <w:rPr>
          <w:rFonts w:ascii="Times New Roman" w:hAnsi="Times New Roman" w:eastAsia="方正仿宋_GBK"/>
          <w:color w:val="000000"/>
          <w:sz w:val="32"/>
          <w:szCs w:val="32"/>
        </w:rPr>
        <w:t>对首次通过认定的高新技术企业给予规模以上20万元、规模以下15万元的一次性奖励，对通过复审的高新技术企业给予5万元补助，其中连续通过复审的高新技术企业给予10万元补助，对有效期内首次“升规上限”的高新技术企业给予5万元补助，对迁入并通过南岸区、重庆经开区首次推荐认定的高新技术企业，按照首次认定标准执行。鼓励科技服务机构提高科技型企业入库和高新技术企业认定服务质量，对当年完成科技型企业首次审核入库达到10家、高新技术企业首次认定达到2家及以上的，按新入库1户科技型企业1000元、新认定1户高新技术企业2万元标准给予绩效奖励。</w:t>
      </w:r>
    </w:p>
    <w:p>
      <w:pPr>
        <w:pStyle w:val="4"/>
        <w:widowControl/>
        <w:spacing w:beforeAutospacing="0" w:afterAutospacing="0" w:line="600" w:lineRule="exact"/>
        <w:ind w:firstLine="640" w:firstLineChars="200"/>
        <w:rPr>
          <w:rFonts w:ascii="Times New Roman" w:hAnsi="Times New Roman" w:eastAsia="方正仿宋_GBK"/>
          <w:sz w:val="32"/>
          <w:szCs w:val="32"/>
        </w:rPr>
      </w:pPr>
      <w:r>
        <w:rPr>
          <w:rFonts w:ascii="Times New Roman" w:hAnsi="Times New Roman" w:eastAsia="方正仿宋_GBK"/>
          <w:color w:val="000000"/>
          <w:sz w:val="32"/>
          <w:szCs w:val="32"/>
        </w:rPr>
        <w:t>责任单位：区科技局、经开区改革发展科技局</w:t>
      </w:r>
    </w:p>
    <w:p>
      <w:pPr>
        <w:pStyle w:val="4"/>
        <w:widowControl/>
        <w:spacing w:beforeAutospacing="0" w:afterAutospacing="0"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color w:val="000000"/>
          <w:sz w:val="32"/>
          <w:szCs w:val="32"/>
        </w:rPr>
        <w:t>二、建设绿色发展示范</w:t>
      </w:r>
    </w:p>
    <w:p>
      <w:pPr>
        <w:pStyle w:val="4"/>
        <w:widowControl/>
        <w:spacing w:beforeAutospacing="0" w:afterAutospacing="0"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7．提档升级绿色制造</w:t>
      </w:r>
    </w:p>
    <w:p>
      <w:pPr>
        <w:pStyle w:val="4"/>
        <w:widowControl/>
        <w:spacing w:beforeAutospacing="0" w:afterAutospacing="0" w:line="600" w:lineRule="exact"/>
        <w:ind w:firstLine="640" w:firstLineChars="200"/>
        <w:rPr>
          <w:rFonts w:ascii="Times New Roman" w:hAnsi="Times New Roman" w:eastAsia="方正仿宋_GBK"/>
          <w:sz w:val="32"/>
          <w:szCs w:val="32"/>
        </w:rPr>
      </w:pPr>
      <w:r>
        <w:rPr>
          <w:rFonts w:ascii="Times New Roman" w:hAnsi="Times New Roman" w:eastAsia="方正仿宋_GBK"/>
          <w:color w:val="000000"/>
          <w:sz w:val="32"/>
          <w:szCs w:val="32"/>
        </w:rPr>
        <w:t>围绕重庆经开区国家绿色产业示范基地建设，发挥国家新型工业化产业示范基地等优势，培育壮大绿色制造集群。对纳入国家绿色制造示范名单的绿色设计产品，每项产品给予10万元一次性补贴，每家企业最高50万元。对纳入国家绿色制造示范名单的绿色工厂、绿色园区、绿色供应链管理或获评为“清洁生产优秀企业”的，按上级支持经费给予1∶1配套补助。支持企业技术改造和设备更新投资，对完成投资备案并验收合格的技改项目，以当年实际投资额10%的比例给予一次性补助，每家企业最高补助1000万元。</w:t>
      </w:r>
    </w:p>
    <w:p>
      <w:pPr>
        <w:pStyle w:val="4"/>
        <w:widowControl/>
        <w:spacing w:beforeAutospacing="0" w:afterAutospacing="0"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责任单位：经开区经济运行局、经开区改革发展科技局</w:t>
      </w:r>
    </w:p>
    <w:p>
      <w:pPr>
        <w:pStyle w:val="4"/>
        <w:widowControl/>
        <w:spacing w:beforeAutospacing="0" w:afterAutospacing="0"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8．大力发展绿色金融</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color w:val="000000"/>
          <w:sz w:val="32"/>
          <w:szCs w:val="32"/>
        </w:rPr>
        <w:t>引导全国性金融机构绿色金融中心和金融机构绿色分支机构落地，鼓励银行业金融机构设立绿色分行、绿色支行或绿色金融事业部等绿色金融专营机构，创新绿色信贷、绿色债券、绿色保险等产品。对设立绿色分行的，给予单家银行500万元一次性奖励；对设立绿色支行、绿色金融事业部的，给予单家银行100万元一次性奖励。设立2000万元的绿色金融风险补偿资金池，对开展绿色贷款的银行业金融机构，按其本金损失金额的20%给予风险补偿，单户最高500万元。</w:t>
      </w:r>
    </w:p>
    <w:p>
      <w:pPr>
        <w:pStyle w:val="4"/>
        <w:widowControl/>
        <w:spacing w:beforeAutospacing="0" w:afterAutospacing="0"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责任单位：经开区财务局</w:t>
      </w:r>
    </w:p>
    <w:p>
      <w:pPr>
        <w:pStyle w:val="4"/>
        <w:widowControl/>
        <w:spacing w:beforeAutospacing="0" w:afterAutospacing="0"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9．推广应用绿色建筑示范</w:t>
      </w:r>
    </w:p>
    <w:p>
      <w:pPr>
        <w:pStyle w:val="4"/>
        <w:widowControl/>
        <w:spacing w:beforeAutospacing="0" w:afterAutospacing="0" w:line="600" w:lineRule="exact"/>
        <w:ind w:firstLine="640" w:firstLineChars="200"/>
        <w:rPr>
          <w:rFonts w:ascii="Times New Roman" w:hAnsi="Times New Roman" w:eastAsia="方正仿宋_GBK"/>
          <w:sz w:val="32"/>
          <w:szCs w:val="32"/>
        </w:rPr>
      </w:pPr>
      <w:r>
        <w:rPr>
          <w:rFonts w:ascii="Times New Roman" w:hAnsi="Times New Roman" w:eastAsia="方正仿宋_GBK"/>
          <w:color w:val="000000"/>
          <w:sz w:val="32"/>
          <w:szCs w:val="32"/>
        </w:rPr>
        <w:t>支持绿色建筑发展，建设项目在竣工验收后，取得“绿色建筑竣工标识”的项目，二、三星级分别按建筑面积1000元/万平方米、1500元/万平方米给予奖励。对在区生产新型绿色建筑设备给予首套设备使用补助，单户最高500万元。鼓励绿色建材生产企业研发、生产新型建材产品，根据年度考核情况按研发费用存量不高于3%、增量不高于10%的比例给予补助，单户最高20万元。</w:t>
      </w:r>
    </w:p>
    <w:p>
      <w:pPr>
        <w:pStyle w:val="4"/>
        <w:widowControl/>
        <w:spacing w:beforeAutospacing="0" w:afterAutospacing="0"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责任单位：经开区生态环境建管局、经开区改革发展科技局</w:t>
      </w:r>
    </w:p>
    <w:p>
      <w:pPr>
        <w:pStyle w:val="4"/>
        <w:widowControl/>
        <w:spacing w:beforeAutospacing="0" w:afterAutospacing="0"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10．培育绿色环保产业</w:t>
      </w:r>
    </w:p>
    <w:p>
      <w:pPr>
        <w:pStyle w:val="4"/>
        <w:widowControl/>
        <w:spacing w:beforeAutospacing="0" w:afterAutospacing="0" w:line="600" w:lineRule="exact"/>
        <w:ind w:firstLine="640" w:firstLineChars="200"/>
        <w:rPr>
          <w:rFonts w:ascii="Times New Roman" w:hAnsi="Times New Roman" w:eastAsia="方正仿宋_GBK"/>
          <w:sz w:val="32"/>
          <w:szCs w:val="32"/>
        </w:rPr>
      </w:pPr>
      <w:r>
        <w:rPr>
          <w:rFonts w:ascii="Times New Roman" w:hAnsi="Times New Roman" w:eastAsia="方正仿宋_GBK"/>
          <w:color w:val="000000"/>
          <w:sz w:val="32"/>
          <w:szCs w:val="32"/>
        </w:rPr>
        <w:t>鼓励“智能化+环保监管新技术”的推广应用，对有效促进精准治污、科学治污的排污企业，根据年度考核情况按当年投入的5%给予最高30万元奖励。对实现零碳排放的规模以上工业企业给予最高50万元一次性奖励。对生态修复及核心技术攻关项目，按不超过项目总费用30%的标准给予补助，单个项目最高500万元。</w:t>
      </w:r>
    </w:p>
    <w:p>
      <w:pPr>
        <w:pStyle w:val="4"/>
        <w:widowControl/>
        <w:spacing w:beforeAutospacing="0" w:afterAutospacing="0"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责任单位：区生态环境局、经开区生态环境建管局、经开区改革发展科技局、经开区经济运行局</w:t>
      </w:r>
    </w:p>
    <w:p>
      <w:pPr>
        <w:pStyle w:val="4"/>
        <w:widowControl/>
        <w:spacing w:beforeAutospacing="0" w:afterAutospacing="0"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11．构建绿色能源体系</w:t>
      </w:r>
    </w:p>
    <w:p>
      <w:pPr>
        <w:pStyle w:val="4"/>
        <w:widowControl/>
        <w:spacing w:beforeAutospacing="0" w:afterAutospacing="0" w:line="600" w:lineRule="exact"/>
        <w:ind w:firstLine="640" w:firstLineChars="200"/>
        <w:rPr>
          <w:rFonts w:ascii="Times New Roman" w:hAnsi="Times New Roman" w:eastAsia="方正仿宋_GBK"/>
          <w:sz w:val="32"/>
          <w:szCs w:val="32"/>
        </w:rPr>
      </w:pPr>
      <w:r>
        <w:rPr>
          <w:rFonts w:ascii="Times New Roman" w:hAnsi="Times New Roman" w:eastAsia="方正仿宋_GBK"/>
          <w:color w:val="000000"/>
          <w:sz w:val="32"/>
          <w:szCs w:val="32"/>
        </w:rPr>
        <w:t>对有效期内获得国家、市级扶持的资源节约循环利用、环境污染治理、节能环保产业、非工企业综合节能改造示范等企业投资项目以及获上级扶持的区属公共机构节能改造等财政投资类项目，按国家、市级补助到位资金的50%、30%给予项目投资单位配套扶持，最高500万元。鼓励企业或机构在我区举办国际级或国家级绿色产业峰会、重大论坛、创新大赛等活动，按照核定支出的15%给予单个活动最高50万元补助。</w:t>
      </w:r>
    </w:p>
    <w:p>
      <w:pPr>
        <w:pStyle w:val="4"/>
        <w:widowControl/>
        <w:spacing w:beforeAutospacing="0" w:afterAutospacing="0"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责任单位：区发展改革委、经开区改革发展科技局</w:t>
      </w:r>
    </w:p>
    <w:p>
      <w:pPr>
        <w:pStyle w:val="4"/>
        <w:widowControl/>
        <w:spacing w:beforeAutospacing="0" w:afterAutospacing="0"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12．加快发展绿色交通</w:t>
      </w:r>
    </w:p>
    <w:p>
      <w:pPr>
        <w:pStyle w:val="4"/>
        <w:widowControl/>
        <w:spacing w:beforeAutospacing="0" w:afterAutospacing="0" w:line="600" w:lineRule="exact"/>
        <w:ind w:firstLine="640" w:firstLineChars="200"/>
        <w:rPr>
          <w:rFonts w:ascii="Times New Roman" w:hAnsi="Times New Roman" w:eastAsia="方正仿宋_GBK"/>
          <w:sz w:val="32"/>
          <w:szCs w:val="32"/>
        </w:rPr>
      </w:pPr>
      <w:r>
        <w:rPr>
          <w:rFonts w:ascii="Times New Roman" w:hAnsi="Times New Roman" w:eastAsia="方正仿宋_GBK"/>
          <w:color w:val="000000"/>
          <w:sz w:val="32"/>
          <w:szCs w:val="32"/>
        </w:rPr>
        <w:t>支持充电设施项目建设，按照充电设施额定输出功率标准，给予项目投资方一次性补贴，单个项目最高补助50万元。鼓励绿色交通推广应用，对投用的新能源公交车和智慧站点建设给予一定补助。</w:t>
      </w:r>
    </w:p>
    <w:p>
      <w:pPr>
        <w:pStyle w:val="4"/>
        <w:widowControl/>
        <w:spacing w:beforeAutospacing="0" w:afterAutospacing="0"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责任单位：区交通局、经开区改革发展科技局</w:t>
      </w:r>
    </w:p>
    <w:p>
      <w:pPr>
        <w:pStyle w:val="4"/>
        <w:widowControl/>
        <w:spacing w:beforeAutospacing="0" w:afterAutospacing="0"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color w:val="000000"/>
          <w:sz w:val="32"/>
          <w:szCs w:val="32"/>
        </w:rPr>
        <w:t>三、推进大数据智能化创新</w:t>
      </w:r>
    </w:p>
    <w:p>
      <w:pPr>
        <w:pStyle w:val="4"/>
        <w:widowControl/>
        <w:spacing w:beforeAutospacing="0" w:afterAutospacing="0"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13．提速数字产业化</w:t>
      </w:r>
    </w:p>
    <w:p>
      <w:pPr>
        <w:pStyle w:val="4"/>
        <w:widowControl/>
        <w:spacing w:beforeAutospacing="0" w:afterAutospacing="0" w:line="600" w:lineRule="exact"/>
        <w:ind w:firstLine="640" w:firstLineChars="200"/>
        <w:rPr>
          <w:rFonts w:ascii="Times New Roman" w:hAnsi="Times New Roman" w:eastAsia="方正仿宋_GBK"/>
          <w:sz w:val="32"/>
          <w:szCs w:val="32"/>
        </w:rPr>
      </w:pPr>
      <w:r>
        <w:rPr>
          <w:rFonts w:ascii="Times New Roman" w:hAnsi="Times New Roman" w:eastAsia="方正仿宋_GBK"/>
          <w:color w:val="000000"/>
          <w:sz w:val="32"/>
          <w:szCs w:val="32"/>
        </w:rPr>
        <w:t>对进入国家或市级重点软件企业清单、在关键领域取得突破和软件著作权、出口拥有自主知识产权软件的信息服务业企业，积极推荐其按政策申报奖补资金，并按照市级资金到位的50%给予最高30万元补助。鼓励区内企事业单位、科研院所加大数字产品项目创新，对新纳入市级大数据产业发展项目库的，单个项目给予2万元一次性奖励。</w:t>
      </w:r>
    </w:p>
    <w:p>
      <w:pPr>
        <w:pStyle w:val="4"/>
        <w:widowControl/>
        <w:spacing w:beforeAutospacing="0" w:afterAutospacing="0"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责任单位：区经济信息委、区大数据发展局、经开区经济运行局</w:t>
      </w:r>
    </w:p>
    <w:p>
      <w:pPr>
        <w:pStyle w:val="4"/>
        <w:widowControl/>
        <w:spacing w:beforeAutospacing="0" w:afterAutospacing="0"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14．促进产业数字化</w:t>
      </w:r>
    </w:p>
    <w:p>
      <w:pPr>
        <w:pStyle w:val="4"/>
        <w:widowControl/>
        <w:spacing w:beforeAutospacing="0" w:afterAutospacing="0" w:line="600" w:lineRule="exact"/>
        <w:ind w:firstLine="640" w:firstLineChars="200"/>
        <w:rPr>
          <w:rFonts w:ascii="Times New Roman" w:hAnsi="Times New Roman" w:eastAsia="方正仿宋_GBK"/>
          <w:sz w:val="32"/>
          <w:szCs w:val="32"/>
        </w:rPr>
      </w:pPr>
      <w:r>
        <w:rPr>
          <w:rFonts w:ascii="Times New Roman" w:hAnsi="Times New Roman" w:eastAsia="方正仿宋_GBK"/>
          <w:color w:val="000000"/>
          <w:sz w:val="32"/>
          <w:szCs w:val="32"/>
        </w:rPr>
        <w:t>打造区内“5G+工业互联网”新型应用场景，支持区内工业互联网平台建设，对新获得市级认定及资金支持的项目给予30万元一次性补助。鼓励区内企业建设数字化车间和智能化工厂，对新认定的市级智能工厂、数字化车间分别给予30万元、15万元一次性补助。加速引育规模以下数字经济孵化企业，鼓励满足条件的企业进入市级数字经济企业库，对新入库并承诺在库3年的企业给予3万元一次性奖励。</w:t>
      </w:r>
    </w:p>
    <w:p>
      <w:pPr>
        <w:pStyle w:val="4"/>
        <w:widowControl/>
        <w:spacing w:beforeAutospacing="0" w:afterAutospacing="0"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责任单位：区经济信息委、区大数据发展局、经开区经济运行局</w:t>
      </w:r>
    </w:p>
    <w:p>
      <w:pPr>
        <w:pStyle w:val="4"/>
        <w:widowControl/>
        <w:spacing w:beforeAutospacing="0" w:afterAutospacing="0"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15．创新打造智慧应用场景</w:t>
      </w:r>
    </w:p>
    <w:p>
      <w:pPr>
        <w:pStyle w:val="4"/>
        <w:widowControl/>
        <w:spacing w:beforeAutospacing="0" w:afterAutospacing="0" w:line="600" w:lineRule="exact"/>
        <w:ind w:firstLine="640" w:firstLineChars="200"/>
        <w:rPr>
          <w:rFonts w:ascii="Times New Roman" w:hAnsi="Times New Roman" w:eastAsia="方正仿宋_GBK"/>
          <w:sz w:val="32"/>
          <w:szCs w:val="32"/>
        </w:rPr>
      </w:pPr>
      <w:r>
        <w:rPr>
          <w:rFonts w:ascii="Times New Roman" w:hAnsi="Times New Roman" w:eastAsia="方正仿宋_GBK"/>
          <w:color w:val="000000"/>
          <w:sz w:val="32"/>
          <w:szCs w:val="32"/>
        </w:rPr>
        <w:t>以智慧生态应用、智慧建造应用、智慧风景应用和智慧管理应用为重点领域探索一批新应用场景，全面落实首台（套）装备、首批次材料、首版次软件应用政策，推荐企业申报创新产品目录。支持新型智慧城市建设应用场景、市区政务数据共享协同创新以及5G融合应用示范等智能化应用项目建设，对具有优秀示范效应并新纳入全市智能化创新应用试点项目库的，单个项目给予2万元一次性奖励。</w:t>
      </w:r>
    </w:p>
    <w:p>
      <w:pPr>
        <w:pStyle w:val="4"/>
        <w:widowControl/>
        <w:spacing w:beforeAutospacing="0" w:afterAutospacing="0"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责任单位：区经济信息委、区大数据发展局、经开区改革发展科技局</w:t>
      </w:r>
    </w:p>
    <w:p>
      <w:pPr>
        <w:pStyle w:val="4"/>
        <w:widowControl/>
        <w:spacing w:beforeAutospacing="0" w:afterAutospacing="0"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color w:val="000000"/>
          <w:sz w:val="32"/>
          <w:szCs w:val="32"/>
        </w:rPr>
        <w:t>四、完善绿色创新体制机制</w:t>
      </w:r>
    </w:p>
    <w:p>
      <w:pPr>
        <w:pStyle w:val="4"/>
        <w:widowControl/>
        <w:spacing w:beforeAutospacing="0" w:afterAutospacing="0"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16．创新财政金融支持</w:t>
      </w:r>
    </w:p>
    <w:p>
      <w:pPr>
        <w:pStyle w:val="4"/>
        <w:widowControl/>
        <w:spacing w:beforeAutospacing="0" w:afterAutospacing="0" w:line="600" w:lineRule="exact"/>
        <w:ind w:firstLine="640" w:firstLineChars="200"/>
        <w:rPr>
          <w:rFonts w:ascii="Times New Roman" w:hAnsi="Times New Roman" w:eastAsia="方正仿宋_GBK"/>
          <w:sz w:val="32"/>
          <w:szCs w:val="32"/>
        </w:rPr>
      </w:pPr>
      <w:r>
        <w:rPr>
          <w:rFonts w:ascii="Times New Roman" w:hAnsi="Times New Roman" w:eastAsia="方正仿宋_GBK"/>
          <w:color w:val="000000"/>
          <w:sz w:val="32"/>
          <w:szCs w:val="32"/>
        </w:rPr>
        <w:t>南岸区、重庆经开区统筹建立绿色创新专项资金池，引导辖区金融机构推动资金链与产业链、供应链、创新链有效衔接，深化科技金融服务和产品创新，建立科技型企业政银企融资机制。建立财政科技投入逐年稳步增长制度，发挥财政资金的导向和杠杆作用，构建以财政投入为引导、企业投入为主体、金融市场为支撑的多元化科技投入体系。完善绿色科技创新投资平台，组建总规模60亿元的广阳岛绿色发展基金、南山创新投资基金和长嘉汇创新基金，支持科技创新成果项目转化及科创企业项目孵化、引导、培育及上市。建立2000万元知识价值信用贷款风险补偿基金池，鼓励金融机构加大信贷投放，对申请获得科技型企业知识价值信用贷款的企业，按时还本付息后，给予企业按该项贷款当期收取担保服务费全额补助。支持科技创新企业扩大直接融资，在多层次资本市场开展上市挂牌，建立区内科创板拟上市企业储备库，给予3年期的重点培育，对在科创板成功上市的企业给予最高500万元奖励。</w:t>
      </w:r>
    </w:p>
    <w:p>
      <w:pPr>
        <w:pStyle w:val="4"/>
        <w:widowControl/>
        <w:spacing w:beforeAutospacing="0" w:afterAutospacing="0"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责任单位：区财政局、区科技局、区金融办、经开区改革发展科技局、经开区财务局、区城建集团、经开区投资集团</w:t>
      </w:r>
    </w:p>
    <w:p>
      <w:pPr>
        <w:pStyle w:val="4"/>
        <w:widowControl/>
        <w:spacing w:beforeAutospacing="0" w:afterAutospacing="0"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17．实施高层次人才集聚工程</w:t>
      </w:r>
    </w:p>
    <w:p>
      <w:pPr>
        <w:pStyle w:val="4"/>
        <w:widowControl/>
        <w:spacing w:beforeAutospacing="0" w:afterAutospacing="0" w:line="600" w:lineRule="exact"/>
        <w:ind w:firstLine="640" w:firstLineChars="200"/>
        <w:rPr>
          <w:rFonts w:ascii="Times New Roman" w:hAnsi="Times New Roman" w:eastAsia="方正仿宋_GBK"/>
          <w:sz w:val="32"/>
          <w:szCs w:val="32"/>
        </w:rPr>
      </w:pPr>
      <w:r>
        <w:rPr>
          <w:rFonts w:ascii="Times New Roman" w:hAnsi="Times New Roman" w:eastAsia="方正仿宋_GBK"/>
          <w:color w:val="000000"/>
          <w:sz w:val="32"/>
          <w:szCs w:val="32"/>
        </w:rPr>
        <w:t>聚焦“四大一新”现代产业体系，用好重庆英才计划、英才大会等平台，加快引进“高精尖缺”人才。鼓励和支持来（留）区博士人才开展创新技术研究，每年实施一批区级高层次科技人才项目，单个项目给予最高10万元经费支持。研究制定南岸英才服务管理办法，对区级高层次人才给予子女入学、配偶就业、医疗保健等16项服务。对入选重庆英才计划的人才，给予2万元配套奖励。做大做强“南山智库”，将智库专家纳入党委联系服务专家对象，每年对智库专家开展健康体检。对“卡脖子”领域急需的顶尖人才，“一人一策”“一事一议”给予政策支持。</w:t>
      </w:r>
    </w:p>
    <w:p>
      <w:pPr>
        <w:pStyle w:val="4"/>
        <w:widowControl/>
        <w:spacing w:beforeAutospacing="0" w:afterAutospacing="0"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责任单位：区委组织部、区科技局、区人力社保局、经开区创新创业服务中心</w:t>
      </w:r>
    </w:p>
    <w:p>
      <w:pPr>
        <w:pStyle w:val="4"/>
        <w:widowControl/>
        <w:spacing w:beforeAutospacing="0" w:afterAutospacing="0"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18．强化人才安居保障</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color w:val="000000"/>
          <w:sz w:val="32"/>
          <w:szCs w:val="32"/>
        </w:rPr>
        <w:t>整体承租4500套、新建600套保障性租赁住房，为我区人才定向配租。首批筹集不少于4000套高品质人才公寓，提供给符合条件的人才入住。人才工作满一定年限后，可以享受安家补助、租房补贴和购房补贴。</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责任单位：区住房城乡建委、区大数据发展局、经开区生态环境建管局、经开区创新创业服务中心</w:t>
      </w:r>
    </w:p>
    <w:p>
      <w:pPr>
        <w:pStyle w:val="4"/>
        <w:widowControl/>
        <w:spacing w:beforeAutospacing="0" w:afterAutospacing="0"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19．促进科技成果转化落地</w:t>
      </w:r>
    </w:p>
    <w:p>
      <w:pPr>
        <w:pStyle w:val="4"/>
        <w:widowControl/>
        <w:spacing w:beforeAutospacing="0" w:afterAutospacing="0" w:line="600" w:lineRule="exact"/>
        <w:ind w:firstLine="640" w:firstLineChars="200"/>
        <w:rPr>
          <w:rFonts w:ascii="Times New Roman" w:hAnsi="Times New Roman" w:eastAsia="方正仿宋_GBK"/>
          <w:sz w:val="32"/>
          <w:szCs w:val="32"/>
        </w:rPr>
      </w:pPr>
      <w:r>
        <w:rPr>
          <w:rFonts w:ascii="Times New Roman" w:hAnsi="Times New Roman" w:eastAsia="方正仿宋_GBK"/>
          <w:color w:val="000000"/>
          <w:sz w:val="32"/>
          <w:szCs w:val="32"/>
        </w:rPr>
        <w:t>对获得国家技术发明奖或科技进步奖特等奖、一等奖、二等奖的第一完成社会单位，且该科技成果在南岸区、重庆经开区成功转化的，分别给予最高1000万元、500万元、100万元一次性补助。对获得重庆市技术发明或科技进步特等奖、一等奖、二等奖、三等奖的第一完成社会单位，且该科技成果在南岸区、重庆经开区成功转化的，分别给予最高</w:t>
      </w:r>
      <w:bookmarkStart w:id="3" w:name="_GoBack"/>
      <w:bookmarkEnd w:id="3"/>
      <w:r>
        <w:rPr>
          <w:rFonts w:ascii="Times New Roman" w:hAnsi="Times New Roman" w:eastAsia="方正仿宋_GBK"/>
          <w:color w:val="000000"/>
          <w:sz w:val="32"/>
          <w:szCs w:val="32"/>
        </w:rPr>
        <w:t>50万元、30万元、20万元、10万元补助；获区级补助的单位应抽取一定比例给予本单位成果转化团队人才经费支持，抽取比例不得低于国家、市级科技奖励奖金标准，用于科技成果转化团队持续开展研发活动。鼓励在区高校、科研院所和企业参加科技部门举办的国家级、市级、区级创新创业大赛，对落地在南岸区、重庆经开区的获奖项目给予区级奖励。对获得国家级一、二、三等奖的项目，分别给予30万元、20万元、10万元一次性奖励；对获得市级一、二、三等奖的项目，分别给予10万元、5万元、2万元一次性奖励；对获得区级一、二、三等奖的项目，分别给予5万元、3万元、1万元一次性奖励。对首次认定的国家级、市级专业化科技成果转化机构，分别给予10万元、5万元一次性奖励，对符合条件并获得市级奖补的专业化科技成果转化机构，根据上年度科技成果转化绩效，按照市级奖补的50%给予最高50万元补助。</w:t>
      </w:r>
    </w:p>
    <w:p>
      <w:pPr>
        <w:pStyle w:val="4"/>
        <w:widowControl/>
        <w:spacing w:beforeAutospacing="0" w:afterAutospacing="0"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责任单位：区科技局、经开区改革发展科技局</w:t>
      </w:r>
    </w:p>
    <w:p>
      <w:pPr>
        <w:pStyle w:val="4"/>
        <w:widowControl/>
        <w:spacing w:beforeAutospacing="0" w:afterAutospacing="0"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20．支持创业孵化培育</w:t>
      </w:r>
    </w:p>
    <w:p>
      <w:pPr>
        <w:pStyle w:val="4"/>
        <w:widowControl/>
        <w:spacing w:beforeAutospacing="0" w:afterAutospacing="0" w:line="600" w:lineRule="exact"/>
        <w:ind w:firstLine="640" w:firstLineChars="200"/>
        <w:rPr>
          <w:rFonts w:ascii="Times New Roman" w:hAnsi="Times New Roman" w:eastAsia="方正仿宋_GBK"/>
          <w:sz w:val="32"/>
          <w:szCs w:val="32"/>
        </w:rPr>
      </w:pPr>
      <w:r>
        <w:rPr>
          <w:rFonts w:ascii="Times New Roman" w:hAnsi="Times New Roman" w:eastAsia="方正仿宋_GBK"/>
          <w:color w:val="000000"/>
          <w:sz w:val="32"/>
          <w:szCs w:val="32"/>
        </w:rPr>
        <w:t>对新认定的国家级科技孵化器、国家备案的众创空间分别给予50万元、25万元一次性奖励，市级绩效考核评级优秀、良好的科技企业孵化器或众创空间，按上年市级绩效考核资金的50%给予最高50万元配套补助。同一平台获得多层级认定的，晋升到高等次时，新的一次性奖励只补助差额部分。支持创新创业孵化培育，盘活利用国有低效闲置载体、企业标准厂房、空置商务楼宇等资源，根据创新创业企业和团队情况，给予“一企一策”租金免减缓支持政策。</w:t>
      </w:r>
    </w:p>
    <w:p>
      <w:pPr>
        <w:pStyle w:val="4"/>
        <w:widowControl/>
        <w:spacing w:beforeAutospacing="0" w:afterAutospacing="0"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责任单位：区科技局、区国资委、经开区改革发展科技局、经开区财务局</w:t>
      </w:r>
    </w:p>
    <w:p>
      <w:pPr>
        <w:pStyle w:val="4"/>
        <w:widowControl/>
        <w:spacing w:beforeAutospacing="0" w:afterAutospacing="0"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21．建设农业科技专家大院和科普基地</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color w:val="000000"/>
          <w:sz w:val="32"/>
          <w:szCs w:val="32"/>
        </w:rPr>
        <w:t>对新认定的市级、区级农业科技专家大院分别给予10万元、5万元一次性奖励，对新认定的国家、市级、区级科普基地分别给予10万元、5万元、2万元一次性奖励，对经常性开展有特色、普及面广、针对性强科普活动的优秀区级科普基地给予2万元年度奖补资金。</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责任单位：区科技局</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22．强化知识产权保护</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color w:val="000000"/>
          <w:sz w:val="32"/>
          <w:szCs w:val="32"/>
        </w:rPr>
        <w:t>加强知识产权保护运用管理，激励企业提升知识产权运营能力。对获得国内发明专利授权的，以及通过PCT等途径获得国外发明专利权的，在市级奖补基础上，给予每件最高2万元奖励；对列入国家级知识产权示范单位的给予10万元一次性奖励；对列入国家级知识产权优势单位的给予5万元一次性奖励；对获得驰名商标的给予10万元一次性奖励；对获得马德里国际商标注册的给予2万元一次性奖励；对获得中国专利金奖、银奖、优秀奖的，每件分别给予30万元、20万元、10万元一次性奖励。</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责任单位：区市场监管局、经开区市场监管局</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23．强化政策落地机制</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color w:val="000000"/>
          <w:sz w:val="32"/>
          <w:szCs w:val="32"/>
        </w:rPr>
        <w:t>为更好发挥政策效能，各有关部门（单位）应建立配套的全区统一的政策实施细则、受理程序机制，“一门受理、联合审核”，避免符合多项政策申请条件的主体向不同部门多头申报，简化申报程序，增加企业的便捷度、获得感。</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责任单位：各有关部门（单位）</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24．完善绩效管理机制</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color w:val="000000"/>
          <w:sz w:val="32"/>
          <w:szCs w:val="32"/>
        </w:rPr>
        <w:t>优化财政资金管理，加强事前、事中、事后全过程绩效管理，健全科学的绩效评价机制，完善评价指标体系，积极引入第三方机构和投资者评价、社会公众评价等，不定期开展绿色创新支持政策执行情况评估，以绩效评价结果作为政策实施、资金安排的重要依据。强化创新主体履行科研诚信建设的主体责任，完善内部监督约束机制，不断提高资金使用效益。</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责任单位：各有关部门（单位）</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方正仿宋_GBK"/>
          <w:sz w:val="32"/>
          <w:szCs w:val="32"/>
        </w:rPr>
      </w:pPr>
    </w:p>
    <w:p>
      <w:pPr>
        <w:spacing w:line="600" w:lineRule="exact"/>
        <w:ind w:firstLine="640" w:firstLineChars="200"/>
        <w:rPr>
          <w:rFonts w:ascii="Times New Roman" w:hAnsi="Times New Roman" w:eastAsia="方正仿宋_GBK" w:cs="Times New Roman"/>
          <w:sz w:val="32"/>
          <w:szCs w:val="32"/>
        </w:rPr>
      </w:pPr>
    </w:p>
    <w:sectPr>
      <w:headerReference r:id="rId3" w:type="default"/>
      <w:footerReference r:id="rId4" w:type="default"/>
      <w:pgSz w:w="11906" w:h="16838"/>
      <w:pgMar w:top="1962" w:right="1474" w:bottom="184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eastAsia="仿宋"/>
        <w:sz w:val="32"/>
        <w:szCs w:val="48"/>
      </w:rPr>
    </w:pPr>
    <w:bookmarkStart w:id="0" w:name="_Hlk105857874"/>
    <w:bookmarkStart w:id="1" w:name="_Hlk105858205"/>
    <w:r>
      <w:rPr>
        <w:sz w:val="32"/>
      </w:rPr>
      <mc:AlternateContent>
        <mc:Choice Requires="wps">
          <w:drawing>
            <wp:anchor distT="0" distB="0" distL="114300" distR="114300" simplePos="0" relativeHeight="251661312" behindDoc="0" locked="0" layoutInCell="1" allowOverlap="1">
              <wp:simplePos x="0" y="0"/>
              <wp:positionH relativeFrom="margin">
                <wp:posOffset>4908550</wp:posOffset>
              </wp:positionH>
              <wp:positionV relativeFrom="paragraph">
                <wp:posOffset>-1270</wp:posOffset>
              </wp:positionV>
              <wp:extent cx="575945" cy="281940"/>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5945" cy="281940"/>
                      </a:xfrm>
                      <a:prstGeom prst="rect">
                        <a:avLst/>
                      </a:prstGeom>
                      <a:noFill/>
                      <a:ln w="6350">
                        <a:noFill/>
                      </a:ln>
                      <a:effectLst/>
                    </wps:spPr>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86.5pt;margin-top:-0.1pt;height:22.2pt;width:45.35pt;mso-position-horizontal-relative:margin;z-index:251661312;mso-width-relative:page;mso-height-relative:page;" filled="f" stroked="f" coordsize="21600,21600" o:gfxdata="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5KJIZ2AAAAAgBAAAPAAAAAAAAAAEAIAAAACIAAABkcnMvZG93&#10;bnJldi54bWxQSwECFAAUAAAACACHTuJAFbn7HDkCAABjBAAADgAAAAAAAAABACAAAAAnAQAAZHJz&#10;L2Uyb0RvYy54bWxQSwUGAAAAAAYABgBZAQAA0gUAAAAA&#10;">
              <v:fill on="f" focussize="0,0"/>
              <v:stroke on="f" weight="0.5pt"/>
              <v:imagedata o:title=""/>
              <o:lock v:ext="edit" aspectratio="f"/>
              <v:textbox inset="0mm,0mm,0mm,0mm">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3"/>
      <w:wordWrap w:val="0"/>
      <w:ind w:left="1067" w:leftChars="508" w:firstLine="10115" w:firstLineChars="3161"/>
      <w:jc w:val="right"/>
      <w:rPr>
        <w:rFonts w:hint="default" w:ascii="宋体" w:hAnsi="宋体" w:eastAsia="宋体" w:cs="宋体"/>
        <w:b/>
        <w:bCs/>
        <w:color w:val="005192"/>
        <w:sz w:val="28"/>
        <w:szCs w:val="44"/>
        <w:lang w:val="en-US" w:eastAsia="zh-CN"/>
      </w:rPr>
    </w:pPr>
    <w:bookmarkStart w:id="2" w:name="_Hlk105857633"/>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198755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6pt;margin-top:15.65pt;height:0.15pt;width:442.25pt;z-index:251660288;mso-width-relative:page;mso-height-relative:page;" filled="f" stroked="t" coordsize="21600,21600" o:gfxdata="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Uurs0dUAAAAIAQAADwAAAAAAAAABACAAAAAiAAAAZHJzL2Rvd25yZXYueG1sUEsBAhQAFAAAAAgA&#10;h07iQAeoJC/vAQAAwwMAAA4AAAAAAAAAAQAgAAAAJAEAAGRycy9lMm9Eb2MueG1sUEsFBgAAAAAG&#10;AAYAWQEAAIUFAAAAAA==&#10;">
              <v:fill on="f" focussize="0,0"/>
              <v:stroke weight="1.75pt" color="#005192" miterlimit="8" joinstyle="miter"/>
              <v:imagedata o:title=""/>
              <o:lock v:ext="edit" aspectratio="f"/>
            </v:line>
          </w:pict>
        </mc:Fallback>
      </mc:AlternateContent>
    </w:r>
    <w:r>
      <w:rPr>
        <w:rFonts w:hint="eastAsia"/>
        <w:color w:val="FAFAFA"/>
        <w:sz w:val="32"/>
      </w:rPr>
      <w:t xml:space="preserve"> </w:t>
    </w:r>
    <w:r>
      <w:rPr>
        <w:color w:val="FAFAFA"/>
        <w:sz w:val="32"/>
      </w:rPr>
      <w:t xml:space="preserve">   </w:t>
    </w:r>
    <w:r>
      <w:rPr>
        <w:rFonts w:hint="eastAsia" w:ascii="宋体" w:hAnsi="宋体" w:eastAsia="宋体" w:cs="宋体"/>
        <w:b/>
        <w:bCs/>
        <w:color w:val="005192"/>
        <w:sz w:val="28"/>
        <w:szCs w:val="44"/>
        <w:lang w:eastAsia="zh-Hans"/>
      </w:rPr>
      <w:t>重庆市南岸区人民政府办公室</w:t>
    </w:r>
    <w:r>
      <w:rPr>
        <w:rFonts w:hint="eastAsia" w:ascii="宋体" w:hAnsi="宋体" w:eastAsia="宋体" w:cs="宋体"/>
        <w:b/>
        <w:bCs/>
        <w:color w:val="005192"/>
        <w:sz w:val="28"/>
        <w:szCs w:val="44"/>
      </w:rPr>
      <w:t>发布</w:t>
    </w:r>
    <w:bookmarkEnd w:id="0"/>
    <w:r>
      <w:rPr>
        <w:rFonts w:hint="eastAsia" w:ascii="宋体" w:hAnsi="宋体" w:eastAsia="宋体" w:cs="宋体"/>
        <w:b/>
        <w:bCs/>
        <w:color w:val="005192"/>
        <w:sz w:val="28"/>
        <w:szCs w:val="44"/>
        <w:lang w:val="en-US" w:eastAsia="zh-CN"/>
      </w:rPr>
      <w:t xml:space="preserve">  </w:t>
    </w:r>
  </w:p>
  <w:bookmarkEnd w:id="1"/>
  <w:bookmarkEnd w:id="2"/>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ClIsuz9wEAAMsDAAAOAAAAZHJzL2Uyb0RvYy54bWytU02O0zAU&#10;3iNxB8t7mjTTlhI1ncVUwwZBJeAArmMnlvwnP0/TXoILILGDFUv23IbhGDw7YRi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viD4QPEl8IZkoKGamUTfVaz4yuI2BdLf5ekZeuuldb5CrUlQ0Mr/BI0Q19K9AOG&#10;xiM3sB0lTHdoeB5DhgSnVZu2JyAI3eFKB3JkySblcv6iSqSx3V9lqfeOQT/W5dRoIKMivgmtDHIu&#10;0zft1jahi+zDiUEScpQuRQfXnrOiRZrhHeemkx+Tie7PMb7/Br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cR5KzUAAAACAEAAA8AAAAAAAAAAQAgAAAAIgAAAGRycy9kb3ducmV2LnhtbFBLAQIU&#10;ABQAAAAIAIdO4kClIsuz9wEAAMsDAAAOAAAAAAAAAAEAIAAAACMBAABkcnMvZTJvRG9jLnhtbFBL&#10;BQYAAAAABgAGAFkBAACMBQAAAAA=&#10;">
              <v:fill on="f" focussize="0,0"/>
              <v:stroke weight="1.75pt" color="#005192" miterlimit="8" joinstyle="miter"/>
              <v:imagedata o:title=""/>
              <o:lock v:ext="edit" aspectratio="f"/>
            </v:line>
          </w:pict>
        </mc:Fallback>
      </mc:AlternateContent>
    </w:r>
  </w:p>
  <w:p>
    <w:pPr>
      <w:pStyle w:val="3"/>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Hans"/>
      </w:rPr>
      <w:t>重庆市南岸区人民政府行政规范性文件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hZGZkNWY2NzhkZWE4ZGVmZDM1Y2ZlM2JkMTM1N2EifQ=="/>
  </w:docVars>
  <w:rsids>
    <w:rsidRoot w:val="00DE219C"/>
    <w:rsid w:val="005C22CB"/>
    <w:rsid w:val="0069158E"/>
    <w:rsid w:val="00DE219C"/>
    <w:rsid w:val="07B7261F"/>
    <w:rsid w:val="08A234FA"/>
    <w:rsid w:val="28074D7C"/>
    <w:rsid w:val="40D31F7F"/>
    <w:rsid w:val="5F3C5FAD"/>
    <w:rsid w:val="6C9B7BBF"/>
    <w:rsid w:val="6CF23D1B"/>
    <w:rsid w:val="72C86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rPr>
  </w:style>
  <w:style w:type="paragraph" w:styleId="3">
    <w:name w:val="header"/>
    <w:basedOn w:val="1"/>
    <w:link w:val="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字符"/>
    <w:basedOn w:val="6"/>
    <w:link w:val="3"/>
    <w:qFormat/>
    <w:uiPriority w:val="0"/>
    <w:rPr>
      <w:rFonts w:asciiTheme="minorHAnsi" w:hAnsiTheme="minorHAnsi" w:eastAsiaTheme="minorEastAsia" w:cstheme="minorBidi"/>
      <w:kern w:val="2"/>
      <w:sz w:val="18"/>
      <w:szCs w:val="24"/>
    </w:rPr>
  </w:style>
  <w:style w:type="character" w:customStyle="1" w:styleId="8">
    <w:name w:val="页脚 字符"/>
    <w:basedOn w:val="6"/>
    <w:link w:val="2"/>
    <w:qFormat/>
    <w:uiPriority w:val="0"/>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6268</Words>
  <Characters>6449</Characters>
  <Lines>46</Lines>
  <Paragraphs>13</Paragraphs>
  <TotalTime>1</TotalTime>
  <ScaleCrop>false</ScaleCrop>
  <LinksUpToDate>false</LinksUpToDate>
  <CharactersWithSpaces>6503</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jninm</dc:creator>
  <cp:lastModifiedBy>Administrator</cp:lastModifiedBy>
  <dcterms:modified xsi:type="dcterms:W3CDTF">2023-10-18T09:56:35Z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A12A012CD7E04437905C6B74F58FA153</vt:lpwstr>
  </property>
</Properties>
</file>